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98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2971800</wp:posOffset>
            </wp:positionH>
            <wp:positionV relativeFrom="page">
              <wp:posOffset>170815</wp:posOffset>
            </wp:positionV>
            <wp:extent cx="1487170" cy="7969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79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jc w:val="center"/>
        <w:ind w:righ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b w:val="1"/>
          <w:bCs w:val="1"/>
          <w:color w:val="auto"/>
        </w:rPr>
        <w:t xml:space="preserve">Kluczowe Informacje Dla Inwestorów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center"/>
        <w:ind w:left="120" w:right="260"/>
        <w:spacing w:after="0" w:line="23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Niniejszy dokument zawiera kluczowe informacje dla inwestorów na temat tego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Informacje te są wymagane przez prawo, aby pomóc Ci zrozumieć charakter i ryzyko inwestowania w ten fundusz.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Zachęcamy do zapoznania się z nią, aby móc podjąć świadomą decyzję o ewentualnej inwestycji.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71120</wp:posOffset>
            </wp:positionH>
            <wp:positionV relativeFrom="paragraph">
              <wp:posOffset>118745</wp:posOffset>
            </wp:positionV>
            <wp:extent cx="6009005" cy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00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20"/>
        <w:spacing w:after="0"/>
        <w:tabs>
          <w:tab w:leader="none" w:pos="794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Sport Uranium Miners UCITS ETF (Fundusz) - Akumulacja klasy akcji ETF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ISIN: IE0005YK6564</w:t>
      </w:r>
    </w:p>
    <w:p>
      <w:pPr>
        <w:spacing w:after="0" w:line="6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auto"/>
        </w:rPr>
        <w:t xml:space="preserve">Subfundusz HANetf ICAV.</w:t>
      </w: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auto"/>
        </w:rPr>
        <w:t xml:space="preserve"> Zarządzany przez HANetf Management Limited (The Manager)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63500</wp:posOffset>
            </wp:positionH>
            <wp:positionV relativeFrom="paragraph">
              <wp:posOffset>6350</wp:posOffset>
            </wp:positionV>
            <wp:extent cx="6016625" cy="2482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62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auto"/>
        </w:rPr>
        <w:t xml:space="preserve">Cele i polityka inwestycyjna</w:t>
      </w:r>
    </w:p>
    <w:p>
      <w:pPr>
        <w:sectPr>
          <w:pgSz w:w="12240" w:h="15840" w:orient="portrait"/>
          <w:cols w:equalWidth="0" w:num="1">
            <w:col w:w="9700"/>
          </w:cols>
          <w:pgMar w:left="1340" w:top="1440" w:right="1200" w:bottom="598" w:gutter="0" w:footer="0" w:header="0"/>
        </w:sectPr>
      </w:pPr>
    </w:p>
    <w:p>
      <w:pPr>
        <w:spacing w:after="0" w:line="33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20"/>
        <w:spacing w:after="0" w:line="25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Fundusz dąży do śledzenia ceny i wydajności wydajności, przed opłatami i wydatkami, indeksu North Shore Sport Uranium Miners Index (Indeks).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20"/>
        <w:spacing w:after="0" w:line="36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Indeks: Indeks opiera się na opublikowanej metodyce opartej na zasadach i ma na celu pomiar wyników globalnego spektrum spółek notowanych na giełdzie, które są zaangażowane w wydobycie, badanie, rozwój i produkcję uranu lub posiadają fizyczne opłaty licencyjne z tytułu uranu i uranu.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20"/>
        <w:spacing w:after="0" w:line="26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Kwalifikowalność: Aby kwalifikować się do włączenia do Indeksu, składniki muszą spełniać następujące kryteria:</w:t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460"/>
        <w:spacing w:after="0" w:line="259" w:lineRule="auto"/>
        <w:rPr>
          <w:sz w:val="24"/>
          <w:szCs w:val="24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są notowane na rynkach regulowanych zgodnie z załącznikiem 1 do prospektu emisyjnego;</w:t>
      </w:r>
    </w:p>
    <w:p>
      <w:pPr xmlns:w="http://schemas.openxmlformats.org/wordprocessingml/2006/main">
        <w:ind w:left="460"/>
        <w:spacing w:after="0" w:line="255" w:lineRule="auto"/>
        <w:rPr>
          <w:sz w:val="24"/>
          <w:szCs w:val="24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prowadzi lub będzie prowadzić znaczną część swojej działalności związanej z przemysłem uranu (w szczególności wydobycie uranu, poszukiwanie uranu, inwestycje w fizyczny uran oraz technologie związane z przemysłem uranu);</w:t>
      </w:r>
    </w:p>
    <w:p>
      <w:pPr xmlns:w="http://schemas.openxmlformats.org/wordprocessingml/2006/main">
        <w:ind w:left="460"/>
        <w:spacing w:after="0" w:line="259" w:lineRule="auto"/>
        <w:rPr>
          <w:sz w:val="24"/>
          <w:szCs w:val="24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minimalna kapitalizacja rynkowa i wymogi płynności określone w suplemencie do Funduszu (Suplemencie).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63500</wp:posOffset>
            </wp:positionH>
            <wp:positionV relativeFrom="paragraph">
              <wp:posOffset>166370</wp:posOffset>
            </wp:positionV>
            <wp:extent cx="6013450" cy="2501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right="140"/>
        <w:spacing w:after="0" w:line="34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W marcu i wrześniu indeks jest odnawiany co pół roku w oparciu o powyższe kryteria kwalifikujące, przy czym maksymalna waga jednego papieru wartościowego jest ograniczona do 15%.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right="120"/>
        <w:spacing w:after="0" w:line="28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Replikacja: Fundusz będzie stosował strategię inwestycyjną "zarządzania pasywnego" (lub indeksowania) i będzie dążył do stosowania metodologii replikacji, co oznacza, że w miarę możliwości i możliwości będzie inwestował w kapitałowe papiery wartościowe spółek proporcjonalnie do wag wchodzących w skład Indeksu.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right="120"/>
        <w:spacing w:after="0" w:line="28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Transakcje: Akcje Funduszu (Akcje) są notowane na jednej lub kilku giełdach.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Zazwyczaj tylko uprawnieni uczestnicy (tj. brokerzy) mogą nabywać Akcje od Funduszu lub sprzedawać Akcje z powrotem do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Inni inwestorzy mogą nabywać i sprzedawać Akcje na giełdzie każdego dnia, w którym dana giełda jest otwarta.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right="140"/>
        <w:spacing w:after="0" w:line="28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Polityka podziału: Dochód uzyskany z inwestycji Funduszu nie zostanie podzielony w odniesieniu do Akcji tej klasy, natomiast dochód zostanie zgromadzony i ponownie zainwestowany w imieniu akcjonariuszy Funduszu.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right="140"/>
        <w:spacing w:after="0" w:line="25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Zalecenie: Fundusz ten może nie być odpowiedni dla inwestycji krótkoterminowych.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Waluta: Walutą bazową Funduszu jest Dolar amerykański.</w:t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right="140"/>
        <w:spacing w:after="0" w:line="26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Pełne cele inwestycyjne i szczegóły dotyczące polityki można znaleźć w Suplemencie.</w:t>
      </w:r>
    </w:p>
    <w:p>
      <w:pPr>
        <w:spacing w:after="0" w:line="44" w:lineRule="exact"/>
        <w:rPr>
          <w:sz w:val="24"/>
          <w:szCs w:val="24"/>
          <w:color w:val="auto"/>
        </w:rPr>
      </w:pPr>
    </w:p>
    <w:p>
      <w:pPr>
        <w:sectPr>
          <w:pgSz w:w="12240" w:h="15840" w:orient="portrait"/>
          <w:cols w:equalWidth="0" w:num="2">
            <w:col w:w="4580" w:space="520"/>
            <w:col w:w="4600"/>
          </w:cols>
          <w:pgMar w:left="1340" w:top="1440" w:right="1200" w:bottom="598" w:gutter="0" w:footer="0" w:header="0"/>
          <w:type w:val="continuous"/>
        </w:sect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auto"/>
        </w:rPr>
        <w:t xml:space="preserve">Profil ryzyka i zysku</w:t>
      </w:r>
    </w:p>
    <w:p>
      <w:pPr>
        <w:spacing w:after="0" w:line="346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5"/>
        </w:trPr>
        <w:tc>
          <w:tcPr>
            <w:tcW w:w="8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1"/>
              </w:rPr>
              <w:t xml:space="preserve">Niższe ryzyko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87"/>
              </w:rPr>
              <w:t xml:space="preserve">Wyższe ryzyko</w:t>
            </w:r>
          </w:p>
        </w:tc>
      </w:tr>
      <w:tr>
        <w:trPr>
          <w:trHeight w:val="206"/>
        </w:trPr>
        <w:tc>
          <w:tcPr>
            <w:tcW w:w="1860" w:type="dxa"/>
            <w:vAlign w:val="bottom"/>
            <w:gridSpan w:val="3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5"/>
              </w:rPr>
              <w:t xml:space="preserve">Zazwyczaj niższe nagrody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900" w:type="dxa"/>
            <w:vAlign w:val="bottom"/>
            <w:gridSpan w:val="3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4"/>
              </w:rPr>
              <w:t xml:space="preserve">Zwykle wyższe nagrody</w:t>
            </w:r>
          </w:p>
        </w:tc>
      </w:tr>
      <w:tr>
        <w:trPr>
          <w:trHeight w:val="487"/>
        </w:trPr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96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1</w:t>
            </w:r>
          </w:p>
        </w:tc>
        <w:tc>
          <w:tcPr>
            <w:tcW w:w="420" w:type="dxa"/>
            <w:vAlign w:val="bottom"/>
          </w:tcPr>
          <w:p>
            <w:pPr xmlns:w="http://schemas.openxmlformats.org/wordprocessingml/2006/main">
              <w:jc w:val="right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2</w:t>
            </w:r>
          </w:p>
        </w:tc>
        <w:tc>
          <w:tcPr>
            <w:tcW w:w="640" w:type="dxa"/>
            <w:vAlign w:val="bottom"/>
          </w:tcPr>
          <w:p>
            <w:pPr xmlns:w="http://schemas.openxmlformats.org/wordprocessingml/2006/main">
              <w:jc w:val="right"/>
              <w:ind w:right="196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3</w:t>
            </w:r>
          </w:p>
        </w:tc>
        <w:tc>
          <w:tcPr>
            <w:tcW w:w="600" w:type="dxa"/>
            <w:vAlign w:val="bottom"/>
          </w:tcPr>
          <w:p>
            <w:pPr xmlns:w="http://schemas.openxmlformats.org/wordprocessingml/2006/main">
              <w:jc w:val="right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4</w:t>
            </w:r>
          </w:p>
        </w:tc>
        <w:tc>
          <w:tcPr>
            <w:tcW w:w="660" w:type="dxa"/>
            <w:vAlign w:val="bottom"/>
          </w:tcPr>
          <w:p>
            <w:pPr xmlns:w="http://schemas.openxmlformats.org/wordprocessingml/2006/main">
              <w:jc w:val="right"/>
              <w:ind w:right="176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5</w:t>
            </w:r>
          </w:p>
        </w:tc>
        <w:tc>
          <w:tcPr>
            <w:tcW w:w="44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6</w:t>
            </w:r>
          </w:p>
        </w:tc>
        <w:tc>
          <w:tcPr>
            <w:tcW w:w="820" w:type="dxa"/>
            <w:vAlign w:val="bottom"/>
          </w:tcPr>
          <w:p>
            <w:pPr xmlns:w="http://schemas.openxmlformats.org/wordprocessingml/2006/main">
              <w:jc w:val="right"/>
              <w:ind w:right="156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7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-22860</wp:posOffset>
            </wp:positionH>
            <wp:positionV relativeFrom="paragraph">
              <wp:posOffset>-137160</wp:posOffset>
            </wp:positionV>
            <wp:extent cx="2818130" cy="1511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130" cy="151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-7620</wp:posOffset>
            </wp:positionH>
            <wp:positionV relativeFrom="paragraph">
              <wp:posOffset>-280035</wp:posOffset>
            </wp:positionV>
            <wp:extent cx="2784475" cy="717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7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20" w:right="360"/>
        <w:spacing w:after="0" w:line="25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Powyższa kategoryzacja nie jest gwarantowana, że pozostanie niezmieniona i może ulec zmianie w czasie.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20" w:right="360"/>
        <w:spacing w:after="0" w:line="27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Najniższa kategoria (1) nie oznacza inwestycji wolnej od ryzyka.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 Wskaźnik ryzyka został obliczony z uwzględnieniem symulowanych danych historycznych i może nie być wiarygodnym wskaźnikiem przyszłego profilu ryzyka Funduszu.</w:t>
      </w:r>
    </w:p>
    <w:p>
      <w:pPr xmlns:w="http://schemas.openxmlformats.org/wordprocessingml/2006/main">
        <w:jc w:val="both"/>
        <w:ind w:left="120" w:right="36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Powyższa kategoryzacja (7) wynika z charakteru inwestycji Funduszu oraz ryzyka związanego z tymi inwestycjami, w tym: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80" w:right="360"/>
        <w:spacing w:after="0" w:line="278" w:lineRule="auto"/>
        <w:rPr>
          <w:sz w:val="24"/>
          <w:szCs w:val="24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Na wartość bazowych papierów wartościowych mogą mieć wpływ codzienne zmiany na rynkach finansowych.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 Wśród innych wpływowych czynników znajdują się wiadomości polityczne, gospodarcze, wyniki przedsiębiorstw i ważne wydarzenia korporacyjne.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80" w:right="360"/>
        <w:spacing w:after="0" w:line="257" w:lineRule="auto"/>
        <w:rPr>
          <w:sz w:val="24"/>
          <w:szCs w:val="24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Nie ma pewności, że nastąpi wzrost wartości inwestycji ani że cel inwestycyjny Funduszu zostanie osiągnięty.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right"/>
        <w:ind w:left="380" w:right="360"/>
        <w:spacing w:after="0" w:line="320" w:lineRule="auto"/>
        <w:rPr>
          <w:sz w:val="24"/>
          <w:szCs w:val="24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Ryzyko dla sektora energetycznego: wahania cen energii oraz podaży i popytu na paliwa energetyczne mogą mieć znaczny wpływ na przedsiębiorstwa z branży związanej z energią.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 Rynki różnych towarów związanych z energią mogą charakteryzować się znaczną zmiennością i podlegają kontroli lub manipulacji ze strony dużych producentów lub nabywców.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 Sektor energetyczny może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3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dokonują znacznych inwestycji lub zaciągają znaczne kwoty długu w celu utrzymania lub zwiększenia swoich rezerw."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94" w:lineRule="auto"/>
        <w:rPr>
          <w:sz w:val="24"/>
          <w:szCs w:val="24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Ryzyko związane z przedsiębiorstwami wykorzystującymi uran: przedsiębiorstwa wykorzystujące uran mogą być w znacznym stopniu narażone na skutki presji konkurencyjnej i ceny uranu.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Na cenę uranu mogą mieć wpływ zmiany stóp inflacji, stóp procentowych, polityki pieniężnej, warunków gospodarczych i stabilności politycznej.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Cena uranu może ulegać znacznym wahaniom w krótkim czasie, dlatego NAV Funduszu może być bardziej zmienna niż inne rodzaje inwestycji.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311" w:lineRule="auto"/>
        <w:rPr>
          <w:sz w:val="24"/>
          <w:szCs w:val="24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Ryzyko ekspozycji towarowych: Fundusz inwestuje w spółki uranowe, które mogą być podatne na wahania na rynku surowców bazowych.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 Papiery wartościowe spółek utrzymywanych przez Fundusz, które są zależne od jednego towaru lub koncentrują się na jednym sektorze towarowym, mogą zazwyczaj wykazywać jeszcze większą zmienność związaną z cenami towarów.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 Indeks mierzy wyniki przedsiębiorstw uranowych, a nie wyniki dotyczące ceny samego uranu.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 Papiery wartościowe spółek uranowych mogą być niższe lub wyższe od cen uranu w perspektywie krótkoterminowej lub długoterminowej</w:t>
      </w: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.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right"/>
        <w:spacing w:after="0" w:line="324" w:lineRule="auto"/>
        <w:rPr>
          <w:sz w:val="24"/>
          <w:szCs w:val="24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Geograficzne ryzyko inwestycyjne: Fundusz inwestuje znaczną część swoich aktywów w papiery wartościowe jednego kraju lub regionu, a na wyniki funduszu prawdopodobnie będą miały wpływ zdarzenia lub warunki mające wpływ na ten kraj lub region.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 Do takich wydarzeń należą między innymi</w:t>
      </w:r>
    </w:p>
    <w:p>
      <w:pPr>
        <w:sectPr>
          <w:pgSz w:w="12240" w:h="15840" w:orient="portrait"/>
          <w:cols w:equalWidth="0" w:num="2">
            <w:col w:w="4860" w:space="720"/>
            <w:col w:w="4120"/>
          </w:cols>
          <w:pgMar w:left="1340" w:top="1440" w:right="1200" w:bottom="598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ind w:left="280" w:right="80"/>
        <w:spacing w:after="0" w:line="26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uwarunkowań gospodarczych i zmian w polityce regulacyjnej, podatkowej czy gospodarczej.</w:t>
      </w:r>
    </w:p>
    <w:p>
      <w:pPr>
        <w:spacing w:after="0" w:line="2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right="80"/>
        <w:spacing w:after="0" w:line="27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Ryzyko związane z rynkiem wschodzącym: Fundusz może inwestować w przedsiębiorstwa mające siedzibę na rynkach wschodzących, co może wiązać się z dodatkowymi ryzykami, które zazwyczaj nie są związane z innymi bardziej ugruntowanymi rynkami, takimi jak zwiększone ryzyko niepewności społecznej, gospodarczej i politycznej.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right="60"/>
        <w:spacing w:after="0" w:line="31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Ryzyko walutowe: Fundusz inwestuje w papiery wartościowe denominowane w walutach innych niż waluta bazowa.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 Zmiany kursów walutowych mogą negatywnie wpływać na wyniki Funduszu.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 Do ryzyk nieobjętych wskaźnikiem, które jednak mają istotne znaczenie dla Funduszu, należą:</w:t>
      </w:r>
    </w:p>
    <w:p>
      <w:pPr xmlns:w="http://schemas.openxmlformats.org/wordprocessingml/2006/main">
        <w:jc w:val="right"/>
        <w:ind w:left="280" w:right="80"/>
        <w:spacing w:after="0" w:line="37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Ryzyko błędu śledzenia: wyniki funduszu mogą nie być dokładnie śledzone przez indeks.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 Może to wynikać z wahań na rynku,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jc w:val="both"/>
        <w:ind w:left="28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zmiany w składzie Indeksu, koszty transakcyjne, koszty dokonania zmian w portfelu Funduszu oraz pozostałe koszty Funduszu.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/>
        <w:spacing w:after="0" w:line="29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Płynność na rynku wtórnym: Nie można mieć pewności, że akcje zawsze można kupić lub sprzedać na giełdzie papierów wartościowych lub że cena rynkowa będzie odzwierciedlać NAV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W niektórych warunkach rynkowych Fundusz może mieć trudności z zakupem lub sprzedażą niektórych inwestycji.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W związku z tym cena uzyskana przy zakupie lub sprzedaży papierów wartościowych przez Fundusz może być niekorzystna w porównaniu z ceną w normalnych warunkach rynkowych.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5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Pełny opis ryzyk związanych z tym Funduszem znajduje się w części "Czynniki ryzyka" Suplementu i Prospektu.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-3295015</wp:posOffset>
            </wp:positionH>
            <wp:positionV relativeFrom="paragraph">
              <wp:posOffset>122555</wp:posOffset>
            </wp:positionV>
            <wp:extent cx="6163310" cy="2425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10" cy="242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4480" w:space="720"/>
            <w:col w:w="4400"/>
          </w:cols>
          <w:pgMar w:left="1440" w:top="679" w:right="1200" w:bottom="448" w:gutter="0" w:footer="0" w:header="0"/>
        </w:sect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auto"/>
        </w:rPr>
        <w:t xml:space="preserve">Opłaty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38100</wp:posOffset>
            </wp:positionV>
            <wp:extent cx="6163310" cy="63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1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3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120"/>
        <w:spacing w:after="0" w:line="28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Opłaty, które Państwo ponoszą, służą pokryciu kosztów funkcjonowania Funduszu, w tym kosztów jego marketingu i dystrybucji.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 Opłaty te zmniejszają potencjalny wzrost Państwa inwestycji.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212090</wp:posOffset>
            </wp:positionH>
            <wp:positionV relativeFrom="paragraph">
              <wp:posOffset>112395</wp:posOffset>
            </wp:positionV>
            <wp:extent cx="2875915" cy="16891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915" cy="16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8" w:lineRule="exact"/>
        <w:rPr>
          <w:sz w:val="20"/>
          <w:szCs w:val="20"/>
          <w:color w:val="auto"/>
        </w:rPr>
      </w:pPr>
    </w:p>
    <w:tbl>
      <w:tblPr>
        <w:tblLayout w:type="fixed"/>
        <w:tblInd w:w="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5"/>
        </w:trPr>
        <w:tc>
          <w:tcPr>
            <w:tcW w:w="36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93"/>
              </w:rPr>
              <w:t xml:space="preserve">Jednorazowe opłaty pobierane przed lub po dokonaniu inwestycji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35"/>
        </w:trPr>
        <w:tc>
          <w:tcPr>
            <w:tcW w:w="36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Opłata za wjazd</w:t>
            </w:r>
          </w:p>
        </w:tc>
        <w:tc>
          <w:tcPr>
            <w:tcW w:w="6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0%*</w:t>
            </w:r>
          </w:p>
        </w:tc>
      </w:tr>
      <w:tr>
        <w:trPr>
          <w:trHeight w:val="216"/>
        </w:trPr>
        <w:tc>
          <w:tcPr>
            <w:tcW w:w="36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Opłata za wyjście</w:t>
            </w:r>
          </w:p>
        </w:tc>
        <w:tc>
          <w:tcPr>
            <w:tcW w:w="6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0%*</w:t>
            </w:r>
          </w:p>
        </w:tc>
      </w:tr>
      <w:tr>
        <w:trPr>
          <w:trHeight w:val="451"/>
        </w:trPr>
        <w:tc>
          <w:tcPr>
            <w:tcW w:w="36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Opłaty pobrane z Funduszu w ciągu roku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38"/>
        </w:trPr>
        <w:tc>
          <w:tcPr>
            <w:tcW w:w="36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Bieżące opłaty</w:t>
            </w:r>
          </w:p>
        </w:tc>
        <w:tc>
          <w:tcPr>
            <w:tcW w:w="6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0.85%**</w:t>
            </w:r>
          </w:p>
        </w:tc>
      </w:tr>
      <w:tr>
        <w:trPr>
          <w:trHeight w:val="422"/>
        </w:trPr>
        <w:tc>
          <w:tcPr>
            <w:tcW w:w="36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  <w:w w:val="87"/>
              </w:rPr>
              <w:t xml:space="preserve">Opłaty pobrane z Funduszu w ramach niektórych szczególnych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6"/>
        </w:trPr>
        <w:tc>
          <w:tcPr>
            <w:tcW w:w="36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warunki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209"/>
        </w:trPr>
        <w:tc>
          <w:tcPr>
            <w:tcW w:w="36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Opłata za wyniki</w:t>
            </w:r>
          </w:p>
        </w:tc>
        <w:tc>
          <w:tcPr>
            <w:tcW w:w="6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auto"/>
              </w:rPr>
              <w:t xml:space="preserve">Brak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212090</wp:posOffset>
            </wp:positionH>
            <wp:positionV relativeFrom="paragraph">
              <wp:posOffset>-1235710</wp:posOffset>
            </wp:positionV>
            <wp:extent cx="2875915" cy="27432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915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212090</wp:posOffset>
            </wp:positionH>
            <wp:positionV relativeFrom="paragraph">
              <wp:posOffset>-830580</wp:posOffset>
            </wp:positionV>
            <wp:extent cx="2875915" cy="30607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915" cy="306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202565</wp:posOffset>
            </wp:positionH>
            <wp:positionV relativeFrom="paragraph">
              <wp:posOffset>-393065</wp:posOffset>
            </wp:positionV>
            <wp:extent cx="2884805" cy="39941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805" cy="399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120" w:hanging="5"/>
        <w:spacing w:after="0" w:line="257" w:lineRule="auto"/>
        <w:tabs>
          <w:tab w:leader="none" w:pos="233" w:val="left"/>
        </w:tabs>
        <w:numPr>
          <w:ilvl w:val="0"/>
          <w:numId w:val="6"/>
        </w:numPr>
        <w:rPr>
          <w:rFonts w:ascii="Arial" w:cs="Arial" w:eastAsia="Arial" w:hAnsi="Arial"/>
          <w:sz w:val="17"/>
          <w:szCs w:val="17"/>
          <w:b w:val="1"/>
          <w:bCs w:val="1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Upoważnieni uczestnicy mający bezpośredni kontakt z Funduszem mogą uiścić opłatę wstępną w wysokości maksymalnie 5 % i opłatę za rezygnację w wysokości maksymalnie 3 %.</w:t>
      </w: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 Fundusz nie korzysta obecnie ze swoich uprawnień do stosowania opłat za wjazd i wyjazd.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155575</wp:posOffset>
            </wp:positionV>
            <wp:extent cx="6163310" cy="24384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1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8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Ponieważ fundusz jest ETF-em, inwestorzy na rynku wtórnym zazwyczaj nie będą mogli bezpośrednio kontaktować się z HANetf ICAV.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Inwestorzy nabywający Akcje na giełdzie będą to robić po cenach rynkowych, które będą odzwierciedlać opłaty brokerskie i/lub opłaty transakcyjne oraz spready kupna-sprzedaży, a także ceny spółek bazowych w momencie zawierania transakcji na rynku wtórnym.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firstLine="2"/>
        <w:spacing w:after="0" w:line="270" w:lineRule="auto"/>
        <w:tabs>
          <w:tab w:leader="none" w:pos="115" w:val="left"/>
        </w:tabs>
        <w:numPr>
          <w:ilvl w:val="0"/>
          <w:numId w:val="7"/>
        </w:numPr>
        <w:rPr>
          <w:rFonts w:ascii="Arial" w:cs="Arial" w:eastAsia="Arial" w:hAnsi="Arial"/>
          <w:sz w:val="16"/>
          <w:szCs w:val="16"/>
          <w:b w:val="1"/>
          <w:bCs w:val="1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Upoważnieni uczestnicy mający bezpośredni kontakt z Funduszem pokryją związane z tym koszty transakcyjne.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 * W przypadku inwestorów, którzy mają bezpośredni kontakt z Funduszem, przejście z subfunduszy do subfunduszy może wiązać się z maksymalną opłatą za zmianę dostawcy w wysokości 3 proc.</w:t>
      </w:r>
    </w:p>
    <w:p>
      <w:pPr xmlns:w="http://schemas.openxmlformats.org/wordprocessingml/2006/main">
        <w:jc w:val="both"/>
        <w:spacing w:after="0" w:line="298" w:lineRule="auto"/>
        <w:rPr>
          <w:rFonts w:ascii="Arial" w:cs="Arial" w:eastAsia="Arial" w:hAnsi="Arial"/>
          <w:sz w:val="16"/>
          <w:szCs w:val="16"/>
          <w:b w:val="1"/>
          <w:bCs w:val="1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** Opłaty bieżące są wnoszone na rzecz Zarządzającego, który jest odpowiedzialny za odprowadzanie z jego opłat kosztów funkcjonowania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Pozycja ta nie obejmuje kosztów transakcji portfelowych, z wyjątkiem opłat za wejście/wyjście uiszczanych przez Fundusz przy zakupie lub sprzedaży jednostek uczestnictwa w innym funduszu inwestycyjnym.</w:t>
      </w:r>
    </w:p>
    <w:p>
      <w:pPr>
        <w:spacing w:after="0" w:line="1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5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Więcej informacji na temat opłat znajduje się w sekcjach "Ogólne opłaty i koszty" oraz "Opłaty i koszty związane z zarządzaniem" Prospektu oraz "Opłaty i koszty" i "Kluczowe informacje dotyczące transakcji akcjami" Suplementu.</w:t>
      </w:r>
    </w:p>
    <w:p>
      <w:pPr>
        <w:spacing w:after="0" w:line="49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5080" w:space="200"/>
            <w:col w:w="4320"/>
          </w:cols>
          <w:pgMar w:left="1440" w:top="679" w:right="1200" w:bottom="448" w:gutter="0" w:footer="0" w:header="0"/>
          <w:type w:val="continuous"/>
        </w:sect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auto"/>
        </w:rPr>
        <w:t xml:space="preserve">Dotychczasowa wydajność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38100</wp:posOffset>
            </wp:positionV>
            <wp:extent cx="6163310" cy="635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1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3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Brakuje wystarczających danych, aby dostarczyć inwestorom użytecznych informacji na temat wyników osiągniętych w przeszłości.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156845</wp:posOffset>
            </wp:positionV>
            <wp:extent cx="6163310" cy="24384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1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auto"/>
        </w:rPr>
        <w:t xml:space="preserve">Informacje praktyczne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38100</wp:posOffset>
            </wp:positionV>
            <wp:extent cx="6163310" cy="635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1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240" w:h="15840" w:orient="portrait"/>
          <w:cols w:equalWidth="0" w:num="1">
            <w:col w:w="9600"/>
          </w:cols>
          <w:pgMar w:left="1440" w:top="679" w:right="1200" w:bottom="448" w:gutter="0" w:footer="0" w:header="0"/>
          <w:type w:val="continuous"/>
        </w:sectPr>
      </w:pPr>
    </w:p>
    <w:p>
      <w:pPr>
        <w:spacing w:after="0" w:line="27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Kierownik ds. inwestycji: Vident Advisory, LLC</w:t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Depozytariusz: J.P. Morgan SE - Oddział w Dublinie.</w:t>
      </w:r>
    </w:p>
    <w:p>
      <w:pPr>
        <w:spacing w:after="0" w:line="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Administrator: J.P. Morgan Administration Services (Ireland) Limited.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120"/>
        <w:spacing w:after="0" w:line="28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Dalsze informacje: Kopie dokumentacji prospektu emisyjnego oraz najnowsze sprawozdania finansowe są dostępne nieodpłatnie od Administratora.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Prospekt emisyjny i sprawozdanie finansowe są sporządzane dla HANetf ICAV, a nie oddzielnie dla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Więcej informacji o składzie portfela oraz o składnikach Indeksu znajduje się na stronie www.HANetf.com.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120"/>
        <w:spacing w:after="0" w:line="28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Polityka wynagradzania: Szczegóły polityki wynagradzania Zarządzającego, w tym opis sposobu wyliczania wynagrodzeń i świadczeń oraz tożsamości osób odpowiedzialnych za ich przyznawanie, dostępne są na stronie: www.hanetf.com.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Papierowa kopia niniejszych zasad jest również dostępna bezpłatnie od Zarządzającego na jego żądanie.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120"/>
        <w:spacing w:after="0" w:line="34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Informacje o cenach: Wartość aktywów netto klasy akcji będzie dostępna w normalnych godzinach pracy każdego dnia roboczego w biurze Administratora i będzie publikowana codziennie na stronie 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u w:val="single" w:color="auto"/>
          <w:color w:val="0000FF"/>
        </w:rPr>
        <w:t xml:space="preserve">www.hanetf.com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64135</wp:posOffset>
            </wp:positionV>
            <wp:extent cx="6163310" cy="38417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1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25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6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Zamiana: Zamiana akcji pomiędzy subfunduszami HANetf ICAV nie jest możliwa dla inwestorów, którzy nabywają akcje na giełdzie.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 Zmiana może być dostępna dla upoważnionych uczestników, którzy mają bezpośredni kontakt z Funduszem.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8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Odrębne zobowiązania: Fundusz jest subfunduszem HANetf ICAV, parasolowego irlandzkiego podmiotu zbiorowego zarządzania aktywami.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 Zgodnie z prawem irlandzkim aktywa i pasywa Funduszu są oddzielone od innych subfunduszy w ramach HANetf ICAV, a aktywa Funduszu nie będą dostępne w celu zaspokojenia zobowiązań innego funduszu HANetf ICAV.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5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Podatki: HANetf ICAV jest rezydentem w Irlandii do celów podatkowych.</w:t>
      </w: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 Irlandzkie przepisy podatkowe mogą mieć wpływ na sytuację podatkową inwestorów.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7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Oświadczenie o odpowiedzialności: Zarządzający może zostać pociągnięty do odpowiedzialności wyłącznie na podstawie jakiegokolwiek oświadczenia zawartego w niniejszym dokumencie, które wprowadza w błąd, jest niedokładne lub niezgodne z odpowiednimi częściami prospektu emisyjnego.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2810510</wp:posOffset>
            </wp:positionH>
            <wp:positionV relativeFrom="paragraph">
              <wp:posOffset>226695</wp:posOffset>
            </wp:positionV>
            <wp:extent cx="6350" cy="3778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56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5080" w:space="200"/>
            <w:col w:w="4320"/>
          </w:cols>
          <w:pgMar w:left="1440" w:top="679" w:right="1200" w:bottom="448" w:gutter="0" w:footer="0" w:header="0"/>
          <w:type w:val="continuous"/>
        </w:sect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Fundusz ten jest zatwierdzony w Irlandii i regulowany przez Central Bank of Ireland.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b w:val="1"/>
          <w:bCs w:val="1"/>
          <w:color w:val="auto"/>
        </w:rPr>
        <w:t xml:space="preserve">HANetf Management Limited posiada zezwolenie na prowadzenie działalności w Irlandii i jest regulowany przez Central Bank of Ireland.</w:t>
      </w:r>
    </w:p>
    <w:p>
      <w:pPr>
        <w:spacing w:after="0" w:line="4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Kluczowe informacje dla inwestorów są aktualne na dzień 14.07.2023 r.</w:t>
      </w:r>
    </w:p>
    <w:sectPr>
      <w:pgSz w:w="12240" w:h="15840" w:orient="portrait"/>
      <w:cols w:equalWidth="0" w:num="1">
        <w:col w:w="9600"/>
      </w:cols>
      <w:pgMar w:left="1440" w:top="679" w:right="1200" w:bottom="448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482B5CA0"/>
    <w:multiLevelType w:val="hybridMultilevel"/>
    <w:lvl w:ilvl="0">
      <w:lvlJc w:val="left"/>
      <w:lvlText w:val=" "/>
      <w:numFmt w:val="bullet"/>
      <w:start w:val="1"/>
    </w:lvl>
  </w:abstractNum>
  <w:abstractNum w:abstractNumId="1">
    <w:nsid w:val="26B5704F"/>
    <w:multiLevelType w:val="hybridMultilevel"/>
    <w:lvl w:ilvl="0">
      <w:lvlJc w:val="left"/>
      <w:lvlText w:val=" "/>
      <w:numFmt w:val="bullet"/>
      <w:start w:val="1"/>
    </w:lvl>
  </w:abstractNum>
  <w:abstractNum w:abstractNumId="2">
    <w:nsid w:val="12883B5C"/>
    <w:multiLevelType w:val="hybridMultilevel"/>
    <w:lvl w:ilvl="0">
      <w:lvlJc w:val="left"/>
      <w:lvlText w:val=" "/>
      <w:numFmt w:val="bullet"/>
      <w:start w:val="1"/>
    </w:lvl>
  </w:abstractNum>
  <w:abstractNum w:abstractNumId="3">
    <w:nsid w:val="75E3C273"/>
    <w:multiLevelType w:val="hybridMultilevel"/>
    <w:lvl w:ilvl="0">
      <w:lvlJc w:val="left"/>
      <w:lvlText w:val=" "/>
      <w:numFmt w:val="bullet"/>
      <w:start w:val="1"/>
    </w:lvl>
  </w:abstractNum>
  <w:abstractNum w:abstractNumId="4">
    <w:nsid w:val="64F42C75"/>
    <w:multiLevelType w:val="hybridMultilevel"/>
    <w:lvl w:ilvl="0">
      <w:lvlJc w:val="left"/>
      <w:lvlText w:val=" "/>
      <w:numFmt w:val="bullet"/>
      <w:start w:val="1"/>
    </w:lvl>
  </w:abstractNum>
  <w:abstractNum w:abstractNumId="5">
    <w:nsid w:val="4620A63"/>
    <w:multiLevelType w:val="hybridMultilevel"/>
    <w:lvl w:ilvl="0">
      <w:lvlJc w:val="left"/>
      <w:lvlText w:val="*"/>
      <w:numFmt w:val="bullet"/>
      <w:start w:val="1"/>
    </w:lvl>
  </w:abstractNum>
  <w:abstractNum w:abstractNumId="6">
    <w:nsid w:val="6112B01E"/>
    <w:multiLevelType w:val="hybridMultilevel"/>
    <w:lvl w:ilvl="0">
      <w:lvlJc w:val="left"/>
      <w:lvlText w:val="*"/>
      <w:numFmt w:val="bullet"/>
      <w:start w:val="1"/>
    </w:lvl>
  </w:abstractNum>
  <w:abstractNum w:abstractNumId="7">
    <w:nsid w:val="79CE15D9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2024-05-21T09:45:25Z</dcterms:created>
  <dcterms:modified xsi:type="dcterms:W3CDTF">2024-05-21T09:45:25Z</dcterms:modified>
</cp:coreProperties>
</file>