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WisdomTree WTI Ropa naftowa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0.6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Przeznaczenie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 w:right="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Produkt</w:t>
      </w:r>
    </w:p>
    <w:p>
      <w:pPr>
        <w:spacing w:after="0" w:line="70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2160" w:type="dxa"/>
            <w:vAlign w:val="bottom"/>
            <w:tcBorders>
              <w:top w:val="single" w:sz="8" w:color="5B6770"/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Produkt:</w:t>
            </w:r>
          </w:p>
        </w:tc>
        <w:tc>
          <w:tcPr>
            <w:tcW w:w="246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WisdomTree WTI Ropa naftowa</w:t>
            </w:r>
          </w:p>
        </w:tc>
        <w:tc>
          <w:tcPr>
            <w:tcW w:w="320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Producent PRIIP:</w:t>
            </w:r>
          </w:p>
        </w:tc>
        <w:tc>
          <w:tcPr>
            <w:tcW w:w="224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WisdomTree UK Limited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ISIN: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GB00B15KXV33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Właściwy organ twórcy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UE: Central Bank of Ireland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Wielka Brytania: Financial Conduct Authority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Data dokumentu lub najpóźniej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06/12/2023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Strona internetowa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rFonts w:ascii="Arial" w:cs="Arial" w:eastAsia="Arial" w:hAnsi="Arial"/>
                <w:sz w:val="14"/>
                <w:szCs w:val="14"/>
                <w:u w:val="single" w:color="auto"/>
                <w:color w:val="0047BB"/>
              </w:rPr>
            </w:pPr>
            <w:hyperlink r:id="rId13">
              <w:r>
                <w:rPr xmlns:w="http://schemas.openxmlformats.org/wordprocessingml/2006/main">
                  <w:rFonts w:ascii="Arial" w:cs="Arial" w:eastAsia="Arial" w:hAnsi="Arial"/>
                  <w:sz w:val="14"/>
                  <w:szCs w:val="14"/>
                  <w:u w:val="single" w:color="auto"/>
                  <w:color w:val="0047BB"/>
                </w:rPr>
                <w:t xml:space="preserve">https://www.wisdomtree.eu</w:t>
              </w:r>
            </w:hyperlink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Wersja: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Wystawca: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Towarowe Papiery Wartościowe WisdomTree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telefonu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+44 (0) 207 448 4330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Ograniczone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Jurysdykcja: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Jersey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96"/>
              </w:rPr>
              <w:t xml:space="preserve">Grupa, do której należy twórca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Drzewo mądrości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Zamierzasz kupić produkt, który nie jest prosty i może być trudny do zrozumienia.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326390</wp:posOffset>
                </wp:positionV>
                <wp:extent cx="6367145" cy="18288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0.65pt;margin-top:25.7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to za produkt?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Typ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Prawo Jersey regulowane, niecertyfikowane, zarejestrowane, zabezpieczone dłużne papiery wartościowe.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Cele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/>
        <w:spacing w:after="0" w:line="25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WisdomTree WTI Crude Oil to w pełni zabezpieczony, kwalifikowany przez UCITS Towar Giełdowy (ETC), który ma na celu zapewnienie inwestorom całkowitego zwrotu z kontraktów terminowych na ropę naftową WTI.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ETC ma na celu odtworzenie wskaźnika Bloomberg WTI Crude Oil Multi-Tenor Total Return Index (BCLMTTR) poprzez śledzenie wskaźnika Bloomberg WTI Crude Oil Multi-Tenor Excess Return Index oraz zapewnienie przychodów odsetkowych skorygowanych w celu odzwierciedlenia opłat i kosztów związanych z produktem.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Na przykład, jeśli wskaźnik rentowności ropy naftowej Bloomberg WTI Multi-Tenor Total Return Index wzrośnie o 1% w ciągu dnia, to ETC wzrośnie o 1%, wyłączając opłaty.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Jeżeli jednak wskaźnik rentowności ropy naftowej Bloomberg WTI spadnie o 1% w ciągu doby, to ETC spadnie o 1%, z wyłączeniem opłat.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 w:right="20"/>
        <w:spacing w:after="0" w:line="29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Możesz handlować tym produktem na różnych giełdach papierów wartościowych według własnego uznania.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Zmiany cen kontraktów terminowych, o których mowa w Benchmarku, niekoniecznie będą skutkować skorelowanymi zmianami poziomu Benchmarku lub Produktu.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Może to wynikać z szeregu czynników, w tym z efektu "rolowania" kontraktów terminowych.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Zamierzony Inwestor Detaliczny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produkt jest przeznaczony dla podstawowych inwestorów detalicznych, którzy: (i) mogą ponieść utratę kapitału, nie dążą do zachowania kapitału i nie szukają gwarancji kapitału; (ii) posiadają szczególną wiedzę lub doświadczenie w inwestowaniu w podobne produkty i na rynkach finansowych; oraz (iii) poszukują produktu oferującego ekspozycję na wyniki aktywów bazowych i mają horyzont inwestycyjny zgodny z zalecanym okresem posiadania określonym poniżej.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Termin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Ten produkt nie ma ustalonego terminu.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Termin ten zależy od tego, jak długo pacjent zdecyduje się na przechowywanie produktu.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Emitent jest uprawniony do jednostronnego wypowiedzenia niniejszego produktu.</w:t>
      </w:r>
    </w:p>
    <w:p>
      <w:pPr>
        <w:sectPr>
          <w:pgSz w:w="10800" w:h="15600" w:orient="portrait"/>
          <w:cols w:equalWidth="0" w:num="1">
            <w:col w:w="10040"/>
          </w:cols>
          <w:pgMar w:left="380" w:top="328" w:right="38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WisdomTree WTI Ropa naftowa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0.0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9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1123950</wp:posOffset>
            </wp:positionH>
            <wp:positionV relativeFrom="paragraph">
              <wp:posOffset>88900</wp:posOffset>
            </wp:positionV>
            <wp:extent cx="283210" cy="2832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1734820</wp:posOffset>
            </wp:positionH>
            <wp:positionV relativeFrom="paragraph">
              <wp:posOffset>83185</wp:posOffset>
            </wp:positionV>
            <wp:extent cx="283210" cy="2832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2344420</wp:posOffset>
            </wp:positionH>
            <wp:positionV relativeFrom="paragraph">
              <wp:posOffset>86360</wp:posOffset>
            </wp:positionV>
            <wp:extent cx="283210" cy="2832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2954020</wp:posOffset>
            </wp:positionH>
            <wp:positionV relativeFrom="paragraph">
              <wp:posOffset>90805</wp:posOffset>
            </wp:positionV>
            <wp:extent cx="283210" cy="2832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3565525</wp:posOffset>
            </wp:positionH>
            <wp:positionV relativeFrom="paragraph">
              <wp:posOffset>90805</wp:posOffset>
            </wp:positionV>
            <wp:extent cx="283210" cy="2832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4171950</wp:posOffset>
            </wp:positionH>
            <wp:positionV relativeFrom="paragraph">
              <wp:posOffset>88900</wp:posOffset>
            </wp:positionV>
            <wp:extent cx="283210" cy="2832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4777105</wp:posOffset>
            </wp:positionH>
            <wp:positionV relativeFrom="paragraph">
              <wp:posOffset>95250</wp:posOffset>
            </wp:positionV>
            <wp:extent cx="283210" cy="2832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86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86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Niższe ryzyko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1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2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3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4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5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7</w:t>
            </w:r>
          </w:p>
        </w:tc>
        <w:tc>
          <w:tcPr>
            <w:tcW w:w="1060" w:type="dxa"/>
            <w:vAlign w:val="bottom"/>
            <w:vMerge w:val="restart"/>
          </w:tcPr>
          <w:p>
            <w:pPr xmlns:w="http://schemas.openxmlformats.org/wordprocessingml/2006/main"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89"/>
              </w:rPr>
              <w:t xml:space="preserve">Wyższe ryzyko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Wskaźnik ryzyka zakłada przechowywanie produktu przez 1 rok.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Rzeczywiste ryzyko może być znacznie wyższe, jeśli dokonasz wpłaty na wczesnym lub późniejszym etapie, a otrzymasz mniej.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Pokazuje, jak prawdopodobne jest, że produkt straci pieniądze z powodu zmian na rynkach lub dlatego, że nie jesteśmy w stanie zapłacić.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Zaklasyfikowaliśmy ten produkt jako 6 z 7, co jest drugą najwyższą klasą ryzyka.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ten sposób ocenia się na wysokim poziomie potencjalne straty wynikające z przyszłych wyników.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Jeśli waluta handlowa jest inna niż waluta bazowa, otrzymasz płatności w innej walucie, więc ostateczny zwrot będzie zależał od kursu wymiany między dwiema walutami.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Ryzyko to nie jest uwzględniane we wskaźniku przedstawionym powyżej.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może wypowiedzieć niniejszy produkt jednostronnie, a w przypadku niektórych zdarzeń obligatoryjnego wykupu może to uczynić z bardzo krótkim wyprzedzeniem określonym w prospekcie emisyjnym.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Ten produkt nie obejmuje żadnej ochrony przed przyszłą sytuacją rynkową, więc możesz stracić część lub całość inwestycji.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Czynniki wpływające na zwrot produktu po zakończeniu zalecanego okresu utrzymywania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Na zwrot z produktu na koniec zalecanego okresu przechowywania będzie miała wpływ przede wszystkim wydajność instrumentu bazowego (instrumentów bazowych) w zalecanym okresie przechowywania oraz kurs wymiany między walutą produktu a walutą, w której produkt został nabyty.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Co może wpłynąć pozytywnie na mój powrót?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5220" w:hanging="7"/>
        <w:spacing w:after="0" w:line="340" w:lineRule="auto"/>
        <w:tabs>
          <w:tab w:leader="none" w:pos="10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Wzrost poziomu wielotonowego zwrotu ropy naftowej Bloomberg WTI.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Co może negatywnie wpłynąć na mój powrót?</w:t>
      </w:r>
    </w:p>
    <w:p>
      <w:pPr xmlns:w="http://schemas.openxmlformats.org/wordprocessingml/2006/main">
        <w:ind w:left="107" w:hanging="107"/>
        <w:spacing w:after="0"/>
        <w:tabs>
          <w:tab w:leader="none" w:pos="107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Spadek poziomu wielotonowego zwrotu ropy naftowej Bloomberg WTI.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 w:right="14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Wymienione powyżej czynniki dostarczają ogólnych wskazówek na temat tego, jak zmiany w poziomie wielotonażowego całkowitego zwrotu ropy naftowej Bloomberg WTI mogą wpłynąć na Twój zwrot.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Dokładny wpływ będzie zależał od czasu i skali tych zmian, a powyższa lista nie powinna być postrzegana jako gwarancja konkretnego rezultatu.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Aby uzyskać omówienie tego, co otrzymasz po zamknięciu produktu, zobacz temat "Co to jest ten produkt?".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trudnych warunkach rynkowych możesz stracić całą swoją inwestycję.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8890" cy="18288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890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38" style="position:absolute;margin-left:0pt;margin-top:7.7pt;width:500.7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9525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7.7pt" to="500.75pt,7.7pt" o:allowincell="f" strokecolor="#5B6770" strokeweight="0.25pt"/>
            </w:pict>
          </mc:Fallback>
        </mc:AlternateConten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się stanie, jeśli WisdomTree Commodity Securities Limited nie będzie w stanie wypłacić?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jest spółką celową.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przypadku niewykonania zobowiązania przez Emitenta, wszelkie roszczenia wobec Emitenta będą zaspokojone w kolejności pierwszeństwa płatności określonej w warunkach produktu.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Jeżeli wpływy netto z tytułu egzekucji zabezpieczonej nieruchomości związanej z produktem nie wystarczą do wywiązania się ze wszystkich zobowiązań i dokonania wszelkich płatności należnych z tytułu papierów wartościowych, zobowiązania Emitenta z tytułu tych papierów wartościowych będą ograniczone do wpływów netto z tytułu realizacji odpowiedniej zabezpieczonej nieruchomości.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takich okolicznościach możesz ponieść stratę, jeśli nie możesz zrealizować pełnej wartości swojej inwestycji.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Produkt nie jest chroniony przez system rekompensat lub gwarancji dla inwestorów.</w:t>
      </w:r>
    </w:p>
    <w:p>
      <w:pPr>
        <w:sectPr>
          <w:pgSz w:w="10800" w:h="15600" w:orient="portrait"/>
          <w:cols w:equalWidth="0" w:num="1">
            <w:col w:w="10007"/>
          </w:cols>
          <w:pgMar w:left="393" w:top="328" w:right="400" w:bottom="1440" w:gutter="0" w:footer="0" w:header="0"/>
        </w:sectPr>
      </w:pPr>
    </w:p>
    <w:bookmarkStart w:id="2" w:name="page3"/>
    <w:bookmarkEnd w:id="2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WisdomTree WTI Ropa naftowa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241935</wp:posOffset>
                </wp:positionV>
                <wp:extent cx="6359525" cy="18288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41" style="position:absolute;margin-left:0.6pt;margin-top:19.0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są koszty?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Osoba, która sprzedaje lub doradza Ci ten produkt, może obciążyć Cię innymi kosztami.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Jeśli tak, osoba ta przekaże Ci informacje o tych kosztach i ich wpływie na Twoją inwestycję.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Koszty w czasie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Kwoty te zależą od tego, ile zainwestujesz, jak długo przechowujesz produkt i jak dobrze działa produkt (w stosownych przypadkach).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Przedstawione tu kwoty są ilustracjami opartymi na przykładowej kwocie inwestycji i różnych możliwych okresach inwestycji: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Założyliśmy: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right="20" w:hanging="7"/>
        <w:spacing w:after="0" w:line="26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odniesieniu do pozostałych okresów utrzymywania zasobów założyliśmy, że produkt działa w umiarkowany sposób</w:t>
      </w:r>
    </w:p>
    <w:p>
      <w:pPr>
        <w:spacing w:after="0" w:line="4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Zainwestowano 10 000 (USD)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51435</wp:posOffset>
                </wp:positionV>
                <wp:extent cx="0" cy="18415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85pt,4.05pt" to="264.85pt,18.55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234315</wp:posOffset>
                </wp:positionV>
                <wp:extent cx="0" cy="36893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85pt,18.45pt" to="264.85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52705</wp:posOffset>
                </wp:positionV>
                <wp:extent cx="6363335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.15pt" to="501.5pt,4.1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601345</wp:posOffset>
                </wp:positionV>
                <wp:extent cx="636333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7.35pt" to="501.5pt,47.3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4.05pt" to="0.6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6367145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1.35pt,4.05pt" to="501.35pt,47.5pt" o:allowincell="f" strokecolor="#5B6770" strokeweight="0.25pt"/>
            </w:pict>
          </mc:Fallback>
        </mc:AlternateContent>
      </w:r>
    </w:p>
    <w:p>
      <w:pPr>
        <w:spacing w:after="0" w:line="6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40" w:type="dxa"/>
            <w:vAlign w:val="bottom"/>
            <w:shd w:val="clear" w:color="auto" w:fill="5B6770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Inwestycje 10 000 $</w:t>
            </w:r>
          </w:p>
        </w:tc>
        <w:tc>
          <w:tcPr>
            <w:tcW w:w="5760" w:type="dxa"/>
            <w:vAlign w:val="bottom"/>
            <w:shd w:val="clear" w:color="auto" w:fill="5B6770"/>
          </w:tcPr>
          <w:p>
            <w:pPr xmlns:w="http://schemas.openxmlformats.org/wordprocessingml/2006/main">
              <w:ind w:left="27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76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ogółem</w:t>
            </w:r>
          </w:p>
        </w:tc>
        <w:tc>
          <w:tcPr>
            <w:tcW w:w="5760" w:type="dxa"/>
            <w:vAlign w:val="bottom"/>
          </w:tcPr>
          <w:p>
            <w:pPr xmlns:w="http://schemas.openxmlformats.org/wordprocessingml/2006/main">
              <w:jc w:val="right"/>
              <w:ind w:right="20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99,00 $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76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Roczny wpływ na koszty (*)</w:t>
            </w:r>
          </w:p>
        </w:tc>
        <w:tc>
          <w:tcPr>
            <w:tcW w:w="5760" w:type="dxa"/>
            <w:vAlign w:val="bottom"/>
          </w:tcPr>
          <w:p>
            <w:pPr xmlns:w="http://schemas.openxmlformats.org/wordprocessingml/2006/main">
              <w:jc w:val="right"/>
              <w:ind w:right="20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- 0,99%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</w:tbl>
    <w:p>
      <w:pPr>
        <w:spacing w:after="0" w:line="5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(*) 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Na przykład pokazuje to, że jeśli opuścisz zakład na koniec zalecanego okresu utrzymywania, średni roczny zwrot z inwestycji wyniesie -4.17% przed kosztami i -5.16% po kosztach.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Struktura kosztów</w:t>
      </w:r>
    </w:p>
    <w:p>
      <w:pPr>
        <w:spacing w:after="0" w:line="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Poniższa tabela przedstawia: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Wpływ każdego roku różnych rodzajów kosztów na zwrot z inwestycji, jaki można uzyskać pod koniec zalecanego okresu utrzymywania.</w:t>
      </w:r>
    </w:p>
    <w:p>
      <w:pPr>
        <w:spacing w:after="0" w:line="6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Znaczenie poszczególnych kategorii kosztów</w:t>
      </w:r>
    </w:p>
    <w:p>
      <w:pPr>
        <w:spacing w:after="0" w:line="80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Jednorazowe koszty przy wjeździe lub wyjeździe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wejścia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wstęp w przypadku zakupu na giełdzie.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wyjścia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wyjście w przypadku sprzedaży na giełdzie.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bieżące ponoszone każdego roku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zarządzanie i inne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7"/>
              </w:rPr>
              <w:t xml:space="preserve">0.54%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7"/>
              </w:rPr>
              <w:t xml:space="preserve"> Jest to szacunek oparty na rzeczywistych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54,00 $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administracyjne lub operacyjne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kosztów w ciągu ostatniego roku.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0.45%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Jest to szacunkowy koszt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transakcyjne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ponoszone przy zakupie i sprzedaży inwestycji bazowych na dany produkt.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Użycie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45,00 $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Rzeczywista kwota będzie zależała od tego, ile kupujemy i sprzedajemy.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7660" w:type="dxa"/>
            <w:vAlign w:val="bottom"/>
            <w:tcBorders>
              <w:left w:val="single" w:sz="8" w:color="5B6770"/>
              <w:right w:val="single" w:sz="8" w:color="5B6770"/>
            </w:tcBorders>
            <w:gridSpan w:val="2"/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uboczne ponoszone na określonych warunkach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wyniki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Brak opłaty za wydajność dla tego produktu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104775</wp:posOffset>
                </wp:positionV>
                <wp:extent cx="6359525" cy="18288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" o:spid="_x0000_s1048" style="position:absolute;margin-left:0.6pt;margin-top:8.2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-1633220</wp:posOffset>
                </wp:positionV>
                <wp:extent cx="0" cy="18415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128.5999pt" to="382.4pt,-114.0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-1083310</wp:posOffset>
                </wp:positionV>
                <wp:extent cx="0" cy="18288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85.2999pt" to="382.4pt,-70.8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-367030</wp:posOffset>
                </wp:positionV>
                <wp:extent cx="0" cy="18288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28.8999pt" to="382.4pt,-14.4999pt" o:allowincell="f" strokecolor="#FFFFFF" strokeweight="0.25pt"/>
            </w:pict>
          </mc:Fallback>
        </mc:AlternateConten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długo powinienem go trzymać i czy mogę wcześnie zabrać pieniądze?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Zalecany okres przechowywania: 1 rok.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Produkt ten będzie można sprzedać w dowolnym momencie na giełdach, na których jest notowany; nie ma jednak okresu karencji ani okresu anulowania.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Wyjście z systemu przed zalecanym okresem utrzymywania nie spowoduje powstania opłaty za wyjście z systemu ani kar lub opłat warunkowych, ale spowoduje, że profil ryzyka i wydajności produktu będzie inny niż wskazany w niniejszym dokumencie.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39370</wp:posOffset>
                </wp:positionV>
                <wp:extent cx="6359525" cy="18288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" o:spid="_x0000_s1052" style="position:absolute;margin-left:0.6pt;margin-top:3.1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mogę złożyć skargę?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przypadku jakichkolwiek nieoczekiwanych problemów ze zrozumieniem, handlem lub obsługą tego produktu, prosimy o bezpośredni kontakt z WisdomTree.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Adres pocztowy: WisdomTree UK Limited, 16 Dufour's Place, London W1F 7SP, Wielka Brytania</w:t>
      </w:r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Strona internetowa: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E-mail: </w:t>
      </w:r>
      <w:hyperlink r:id="rId24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europesupport@wisdomtree.com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WisdomTree zajmie się Twoją prośbą i przekaże Ci opinię tak szybko, jak to możliwe.</w:t>
      </w:r>
    </w:p>
    <w:p>
      <w:pPr>
        <w:spacing w:after="0" w:line="20" w:lineRule="exact"/>
        <w:rPr>
          <w:rFonts w:ascii="Arial" w:cs="Arial" w:eastAsia="Arial" w:hAnsi="Arial"/>
          <w:sz w:val="14"/>
          <w:szCs w:val="14"/>
          <w:color w:val="5B6770"/>
        </w:rPr>
      </w:pPr>
      <w:r>
        <w:rPr>
          <w:rFonts w:ascii="Arial" w:cs="Arial" w:eastAsia="Arial" w:hAnsi="Arial"/>
          <w:sz w:val="14"/>
          <w:szCs w:val="14"/>
          <w:color w:val="5B6770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6359525" cy="18288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53" style="position:absolute;margin-left:0.6pt;margin-top:4.0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79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Inne istotne informacje</w:t>
      </w:r>
    </w:p>
    <w:p>
      <w:pPr>
        <w:spacing w:after="0" w:line="11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 w:right="20"/>
        <w:spacing w:after="0" w:line="269" w:lineRule="auto"/>
        <w:rPr>
          <w:rFonts w:ascii="Arial" w:cs="Arial" w:eastAsia="Arial" w:hAnsi="Arial"/>
          <w:sz w:val="13"/>
          <w:szCs w:val="13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Ryzyka przedstawione w niniejszym dokumencie uwidaczniają niektóre, ale nie wszystkie, ryzyka związane z inwestowaniem w ten produkt.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Przed podjęciem jakiejkolwiek decyzji inwestycyjnej należy upewnić się, że w pełni rozumiesz ryzyko związane z tym produktem i w razie potrzeby zasięgnąć fachowej porady.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Pełne warunki i zasady dotyczące produktu są określone w Prospekcie emisyjnym dotyczącym emisji produktu uzupełnianym i zmienianym od czasu do czasu.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Prospekt znajduje się pod adresem: </w:t>
      </w:r>
      <w:hyperlink r:id="rId23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Niniejszy dokument może być okresowo aktualizowany.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Najnowszy dokument zawierający kluczowe informacje jest dostępny na stronie internetowej </w:t>
      </w:r>
      <w:hyperlink r:id="rId25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https://regdocs.wisdomtree.eu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Obliczenia scenariusza wydajności dla tego produktu są dostępne na stronie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.</w:t>
      </w:r>
    </w:p>
    <w:sectPr>
      <w:pgSz w:w="10800" w:h="15600" w:orient="portrait"/>
      <w:cols w:equalWidth="0" w:num="1">
        <w:col w:w="10040"/>
      </w:cols>
      <w:pgMar w:left="380" w:top="328" w:right="38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DF34C7B"/>
    <w:multiLevelType w:val="hybridMultilevel"/>
    <w:lvl w:ilvl="0">
      <w:lvlJc w:val="left"/>
      <w:lvlText w:val="+"/>
      <w:numFmt w:val="bullet"/>
      <w:start w:val="1"/>
    </w:lvl>
  </w:abstractNum>
  <w:abstractNum w:abstractNumId="1">
    <w:nsid w:val="1572E3F4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65002E0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1CA204C7"/>
    <w:multiLevelType w:val="hybridMultilevel"/>
    <w:lvl w:ilvl="0">
      <w:lvlJc w:val="left"/>
      <w:lvlText w:val="+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4" Type="http://schemas.openxmlformats.org/officeDocument/2006/relationships/image" Target="media/image2.jpe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jpeg"/><Relationship Id="rId13" Type="http://schemas.openxmlformats.org/officeDocument/2006/relationships/hyperlink" Target="https://www.wisdomtree.eu/" TargetMode="External"/><Relationship Id="rId23" Type="http://schemas.openxmlformats.org/officeDocument/2006/relationships/hyperlink" Target="https://www.wisdomtree.eu" TargetMode="External"/><Relationship Id="rId24" Type="http://schemas.openxmlformats.org/officeDocument/2006/relationships/hyperlink" Target="mailto:europesupport@wisdomtree.com" TargetMode="External"/><Relationship Id="rId25" Type="http://schemas.openxmlformats.org/officeDocument/2006/relationships/hyperlink" Target="https://regdocs.wisdomtree.e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2024-05-21T09:28:09Z</dcterms:created>
  <dcterms:modified xsi:type="dcterms:W3CDTF">2024-05-21T09:28:09Z</dcterms:modified>
</cp:coreProperties>
</file>