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534670</wp:posOffset>
                </wp:positionH>
                <wp:positionV relativeFrom="page">
                  <wp:posOffset>417830</wp:posOffset>
                </wp:positionV>
                <wp:extent cx="6677025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77025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42.1pt;margin-top:32.9pt;width:525.7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582295</wp:posOffset>
                </wp:positionH>
                <wp:positionV relativeFrom="page">
                  <wp:posOffset>417830</wp:posOffset>
                </wp:positionV>
                <wp:extent cx="6581775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58177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45.85pt;margin-top:32.9pt;width:518.2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414020</wp:posOffset>
                </wp:positionV>
                <wp:extent cx="669036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2.6pt" to="568.4pt,32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916940</wp:posOffset>
                </wp:positionV>
                <wp:extent cx="669036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72.2pt" to="568.4pt,72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1791970</wp:posOffset>
                </wp:positionV>
                <wp:extent cx="669036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41.1pt" to="568.4pt,141.1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3099435</wp:posOffset>
                </wp:positionV>
                <wp:extent cx="669036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244.05pt" to="568.4pt,244.0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3959225</wp:posOffset>
                </wp:positionV>
                <wp:extent cx="669036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11.75pt" to="568.4pt,311.7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411480</wp:posOffset>
                </wp:positionV>
                <wp:extent cx="0" cy="8500745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5007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2.4pt" to="41.85pt,701.7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411480</wp:posOffset>
                </wp:positionV>
                <wp:extent cx="0" cy="8500745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5007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2.4pt" to="568.2pt,701.7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Standaryzowana Opcja Na Zadłużenie (Krótki Nabór)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25400</wp:posOffset>
                </wp:positionV>
                <wp:extent cx="6676390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4.8499pt;margin-top:2pt;width:525.7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2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Standardowe Opcje Na Dłużne Papiery Wartościowe W Stanach Zjednoczonych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("UOKiK") udostępnia niniejszy dokument na podstawie Rozporządzenia UE nr 1286/2014 dla standardowych opcji na dłużne papiery wartościowe (a/k/a "opcje notowane").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Standardowe opcje na dłużne papiery wartościowe są notowane i znajdują się w obrocie na giełdach opcji amerykańskich zarejestrowanych w amerykańskiej Komisji Papierów Wartościowych i Giełd ("SEC") i są emitowane, rozliczane i rozliczane przez OCC, agencję rozliczeniową zarejestrowaną w SEC.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Więcej informacji, w tym dane kontaktowe amerykańskich giełd opcji, inwestorzy mogą znaleźć na stronie internetowej OCC pod adresem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 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Zaktualizowany 28 grudnia 2022 i 20 kwietnia 2023.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handlować opcjami na dłużne papiery wartościowe, dopóki nie przeczytają i nie zrozumieją niniejszego dokumentu i powiązanego dokumentu ujawniającego informacje na temat ryzyka, który jest przedkładany SEC,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Charakterystyka i ryzyko opcji standardowych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zwanego również dokumentem ujawniającym informacje na temat opcji ("ODD")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Ujawnienia w niniejszym dokumencie należy interpretować w sposób zgodny z ODD,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https://www.theocc.com/components/docs/riskstoc.pdf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20955</wp:posOffset>
                </wp:positionV>
                <wp:extent cx="6676390" cy="494220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494220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4.8499pt;margin-top:1.65pt;width:525.7pt;height:389.1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Istnieją dwa rodzaje opcji na dłużne papiery wartościowe.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Opcje oparte na cenie dają posiadaczowi (kupującemu) prawo do zakupu lub sprzedaży określonego bazowego dłużnego papieru wartościowego lub do otrzymania płatności z tytułu rozliczenia gotówkowego w oparciu o wartość bazowego dłużnego papieru wartościowego.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Opcje oparte na dochodach dają posiadaczom prawo do otrzymania środków pieniężnych w oparciu o różnicę między ceną wykonania a wartością dochodu bazowego.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bazowy dłużny papier wartościowy jest zatem pośrednia w przypadku obu rodzajów opcji na dłużne papiery wartościowe, ponieważ wartość opcji pochodzi od wartości bazowego papieru wartościowego.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Terminy ważności opcji na dłużne papiery wartościowe są różne.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okolicznościach, w których warunki opcji zostaną jednoznacznie uznane za błędne, giełda, na której wykonywana jest transakcja, może jednostronnie wypowiedzieć opcję w określonym terminie po jej wykonaniu.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niektórych przypadkach działanie korporacyjne w odniesieniu do bazowego kapitałowego papieru wartościowego może skutkować zmianą warunków opcji zgodnie z zasadami UOKiK, które mogą różnić się od metodyki stosowanej na europejskich rynkach opcji.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8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Posiadaczem opcji jest osoba, która kupuje prawo z opcji i płaci autorowi (sprzedawcy) bezzwrotną płatność zwaną "premią".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Osoba wystawiająca opcje jest zobowiązana - jeżeli i w momencie przypisania jej wykonania - do wykonania zobowiązania zgodnie z warunkami zakupu lub sprzedaży bazowego dłużnego papieru wartościowego po cenie wykonania lub do dostarczenia środków pieniężnych w oparciu o różnicę między ceną wykonania a wartością bazowego dłużnego papieru wartościowego.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Opcja dająca posiadaczowi prawo do zakupu jest opcją kupna, a opcja dająca posiadaczowi prawo do sprzedaży jest opcją sprzedaży.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 może skorzystać z opcji typu amerykańskiego w dowolnym momencie przed wygaśnięciem, natomiast opcja typu europejskiego może być wykonywana tylko w określonym okresie przed wygaśnięciem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np.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data wygaśnięcia).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Opcje oparte na uzysku są zwykle opcjami w stylu europejskim.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wartość opcji to cena wykonania opcji, czas do wygaśnięcia opcji oraz wartość bazowego papieru wartościowego i jego podatność na wahania cen (zmienność).</w:t>
      </w:r>
    </w:p>
    <w:p>
      <w:pPr>
        <w:spacing w:after="0" w:line="4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2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konkretnego rodzaju inwestora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ona odpowiednia dla wszystkich inwestorów i jest przeznaczona wyłącznie dla inwestorów, którzy dobrze rozumieją produkt i mogą ponieść potencjalne straty związane z nim i związaną z nim strategią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20320</wp:posOffset>
                </wp:positionV>
                <wp:extent cx="668972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9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6pt" to="521.4pt,1.6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00"/>
          </w:cols>
          <w:pgMar w:left="940" w:top="627" w:right="1000" w:bottom="1440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414020</wp:posOffset>
                </wp:positionV>
                <wp:extent cx="669036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2.6pt" to="568.4pt,32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411480</wp:posOffset>
                </wp:positionV>
                <wp:extent cx="0" cy="9164955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1649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2.4pt" to="41.85pt,754.0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411480</wp:posOffset>
                </wp:positionV>
                <wp:extent cx="0" cy="9164955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1649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2.4pt" to="568.2pt,754.0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906010" cy="179959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906010" cy="179959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0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dla posiadaczy i emitentów zależy od warunków opcji, ale może obejmować:</w:t>
      </w:r>
    </w:p>
    <w:p>
      <w:pPr>
        <w:spacing w:after="0" w:line="7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20" w:hanging="214"/>
        <w:spacing w:after="0" w:line="228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Jednostka sporządzająca opcje kupna, która nie jest właścicielem bazowego papieru wartościowego (wezwanie niepokryte), ponosi ryzyko potencjalnie nieograniczonej straty w miarę wzrostu ceny bazowych odsetek.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Jednostka sporządzająca opcje sprzedaży ponosi ryzyko straty równej różnicy między ceną wykonania a zerem, jeżeli cena instrumentu bazowego spadnie do zera.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Podmioty zapisujące takie niepokryte wezwania i transakcje sprzedaży są zobowiązane do wniesienia depozytu zabezpieczającego (opisanego poniżej) u swojego brokera, co stwarza dodatkowe ryzyko.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Od podmiotu zapisującego opcję opartą na cenie, która jest fizycznie rozliczana, można wymagać wypełnienia obowiązku zakupu lub sprzedaży bazowego udziału w dowolnym momencie, w którym opcja jest wykonalna ze względu na jej styl.</w:t>
      </w:r>
    </w:p>
    <w:p>
      <w:pPr>
        <w:spacing w:after="0" w:line="80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amerykańska giełda opcji, na której jedynym przedmiotem obrotu są opcje, stanie się niedostępna, inwestorzy w te opcje nie będą już mogli zawierać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Ponadto mogą wystąpić sytuacje, w których ceny opcji nie utrzymają zwyczajowych lub oczekiwanych relacji z cenami bazowych lub powiązanych z nimi udziałów.</w:t>
      </w:r>
    </w:p>
    <w:p>
      <w:pPr>
        <w:spacing w:after="0" w:line="76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20" w:hanging="214"/>
        <w:spacing w:after="0" w:line="20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zabezpieczenie zrealizowanej opcji, rozliczanej fizycznie, jest niedostępne, zasady rozliczania OCC mogą wymagać alternatywnej formy rozliczenia, takiej jak rozliczenie gotówkowe.</w:t>
      </w:r>
    </w:p>
    <w:p>
      <w:pPr>
        <w:spacing w:after="0" w:line="2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8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20" w:hanging="214"/>
        <w:spacing w:after="0" w:line="214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Wszelkie płatności gotówkowe związane z handlem lub korzystaniem z opcji będą rozliczane w dolarach amerykańskich, a w konsekwencji wyniki inwestycyjne mogą się zmieniać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Scenariusz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 mogą mieć wpływ na wartość transakcji i pozycji opcyjnej)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17145</wp:posOffset>
                </wp:positionV>
                <wp:extent cx="6545580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5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1.35pt" to="515.65pt,1.35pt" o:allowincell="f" strokecolor="#000000" strokeweight="0.48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13970</wp:posOffset>
                </wp:positionV>
                <wp:extent cx="0" cy="161290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612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1.1pt" to="0.5pt,128.1pt" o:allowincell="f" strokecolor="#000000" strokeweight="0.47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13970</wp:posOffset>
                </wp:positionV>
                <wp:extent cx="0" cy="161290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612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12.75pt,1.1pt" to="312.75pt,128.1pt" o:allowincell="f" strokecolor="#000000" strokeweight="0.48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6545580</wp:posOffset>
                </wp:positionH>
                <wp:positionV relativeFrom="paragraph">
                  <wp:posOffset>13970</wp:posOffset>
                </wp:positionV>
                <wp:extent cx="0" cy="161290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612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15.4pt,1.1pt" to="515.4pt,128.1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00"/>
          </w:cols>
          <w:pgMar w:left="940" w:top="634" w:right="1000" w:bottom="229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7" w:lineRule="exact"/>
        <w:rPr>
          <w:sz w:val="20"/>
          <w:szCs w:val="20"/>
          <w:color w:val="auto"/>
        </w:rPr>
      </w:pPr>
    </w:p>
    <w:tbl>
      <w:tblPr>
        <w:tblLayout w:type="fixed"/>
        <w:tblInd w:w="293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0"/>
        </w:trPr>
        <w:tc>
          <w:tcPr>
            <w:tcW w:w="195" w:type="dxa"/>
            <w:vAlign w:val="bottom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P/L</w:t>
            </w:r>
          </w:p>
        </w:tc>
      </w:tr>
    </w:tbl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5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color w:val="595959"/>
        </w:rPr>
        <w:t xml:space="preserve">P/L pisania połączenia opartego na cenie (Premium $5; Cena ćwiczenia $45)</w:t>
      </w:r>
    </w:p>
    <w:p>
      <w:pPr xmlns:w="http://schemas.openxmlformats.org/wordprocessingml/2006/main">
        <w:ind w:left="60"/>
        <w:spacing w:after="0" w:line="18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20 $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307975</wp:posOffset>
            </wp:positionH>
            <wp:positionV relativeFrom="paragraph">
              <wp:posOffset>-56515</wp:posOffset>
            </wp:positionV>
            <wp:extent cx="3019425" cy="87185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871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0 $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- 20 USD</w:t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- 40 USD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- 60 USD</w:t>
      </w:r>
    </w:p>
    <w:p>
      <w:pPr>
        <w:spacing w:after="0" w:line="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00"/>
        <w:spacing w:after="0"/>
        <w:tabs>
          <w:tab w:leader="none" w:pos="1120" w:val="left"/>
          <w:tab w:leader="none" w:pos="1920" w:val="left"/>
          <w:tab w:leader="none" w:pos="2700" w:val="left"/>
          <w:tab w:leader="none" w:pos="3500" w:val="left"/>
          <w:tab w:leader="none" w:pos="4240" w:val="left"/>
          <w:tab w:leader="none" w:pos="502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20 $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40 $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60 $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80 $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100 $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120 $</w:t>
      </w:r>
    </w:p>
    <w:p>
      <w:pPr>
        <w:spacing w:after="0" w:line="6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center"/>
        <w:ind w:left="-29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color w:val="595959"/>
        </w:rPr>
        <w:t xml:space="preserve">Cena rynkowa instrumentu bazowego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-351790</wp:posOffset>
                </wp:positionH>
                <wp:positionV relativeFrom="paragraph">
                  <wp:posOffset>120650</wp:posOffset>
                </wp:positionV>
                <wp:extent cx="6544945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49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7.6999pt,9.5pt" to="487.65pt,9.5pt" o:allowincell="f" strokecolor="#000000" strokeweight="0.4799pt"/>
            </w:pict>
          </mc:Fallback>
        </mc:AlternateConten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Mechanizm Stressed Market Underlying Move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Cena rynkowa: $100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00" w:hanging="153"/>
        <w:spacing w:after="0"/>
        <w:tabs>
          <w:tab w:leader="none" w:pos="300" w:val="left"/>
        </w:tabs>
        <w:numPr>
          <w:ilvl w:val="0"/>
          <w:numId w:val="2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pisarza - $50</w:t>
      </w:r>
    </w:p>
    <w:p>
      <w:pPr xmlns:w="http://schemas.openxmlformats.org/wordprocessingml/2006/main">
        <w:ind w:left="140"/>
        <w:spacing w:after="0" w:line="211" w:lineRule="auto"/>
        <w:tabs>
          <w:tab w:leader="none" w:pos="172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+ 50 $</w:t>
      </w:r>
    </w:p>
    <w:p>
      <w:pPr>
        <w:spacing w:after="0" w:line="2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Umiarkowane Przesunięcie Rynkowe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00B050"/>
        </w:rPr>
        <w:t xml:space="preserve">Zielony Punkt Działki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Cena rynkowa: $60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00" w:hanging="153"/>
        <w:spacing w:after="0"/>
        <w:tabs>
          <w:tab w:leader="none" w:pos="300" w:val="left"/>
        </w:tabs>
        <w:numPr>
          <w:ilvl w:val="0"/>
          <w:numId w:val="3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pisarza - $10</w:t>
      </w:r>
    </w:p>
    <w:p>
      <w:pPr xmlns:w="http://schemas.openxmlformats.org/wordprocessingml/2006/main">
        <w:ind w:left="140"/>
        <w:spacing w:after="0" w:line="211" w:lineRule="auto"/>
        <w:tabs>
          <w:tab w:leader="none" w:pos="176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+ 10 USD</w:t>
      </w:r>
    </w:p>
    <w:p>
      <w:pPr>
        <w:spacing w:after="0" w:line="15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8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Wartość Break Even Point występuje, gdy cena bazowa jest równa cenie wykonania plus premia.</w:t>
      </w:r>
    </w:p>
    <w:p>
      <w:pPr>
        <w:spacing w:after="0" w:line="122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3">
            <w:col w:w="488" w:space="72"/>
            <w:col w:w="5420" w:space="380"/>
            <w:col w:w="3940"/>
          </w:cols>
          <w:pgMar w:left="940" w:top="634" w:right="1000" w:bottom="229" w:gutter="0" w:footer="0" w:header="0"/>
          <w:type w:val="continuous"/>
        </w:sectPr>
      </w:pPr>
    </w:p>
    <w:p>
      <w:pPr xmlns:w="http://schemas.openxmlformats.org/wordprocessingml/2006/main">
        <w:ind w:right="12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otrzymać.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spadnie.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 różni się w zależności od tego, jak wartość instrumentu bazowego zmienia się w czasie i co zależy od przyszłych wyników rynkowych, które są niepewne i nie można ich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wartości linii bazowej, a oś pionowa pokazuje zysk lub stratę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Podane liczby obejmują wszystkie koszty samego produktu, ale mogą nie obejmować wszystkich kosztów, które płacisz swojemu doradcy lub dystrybutorowi i nie uwzględniają Twojej osobistej sytuacji podatkowej, która może mieć również wpływ na to, ile otrzymasz.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19050</wp:posOffset>
                </wp:positionV>
                <wp:extent cx="6689725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9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5pt" to="521.4pt,1.5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00"/>
          </w:cols>
          <w:pgMar w:left="940" w:top="634" w:right="1000" w:bottom="229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spacing w:after="0" w:line="202" w:lineRule="auto"/>
        <w:framePr w:w="1360" w:h="134" w:wrap="auto" w:vAnchor="page" w:hAnchor="page" w:x="6100" w:y="9003"/>
        <w:rPr>
          <w:rFonts w:ascii="Calibri" w:cs="Calibri" w:eastAsia="Calibri" w:hAnsi="Calibri"/>
          <w:sz w:val="13"/>
          <w:szCs w:val="13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</w:rPr>
        <w:t xml:space="preserve">Opłaty za wyniki</w:t>
      </w:r>
    </w:p>
    <w:p>
      <w:pPr xmlns:w="http://schemas.openxmlformats.org/wordprocessingml/2006/main">
        <w:spacing w:after="0" w:line="202" w:lineRule="auto"/>
        <w:framePr w:w="480" w:h="134" w:wrap="auto" w:vAnchor="page" w:hAnchor="page" w:x="7620" w:y="9003"/>
        <w:rPr>
          <w:rFonts w:ascii="Calibri" w:cs="Calibri" w:eastAsia="Calibri" w:hAnsi="Calibri"/>
          <w:sz w:val="13"/>
          <w:szCs w:val="13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</w:rPr>
        <w:t xml:space="preserve">Brak</w:t>
      </w:r>
    </w:p>
    <w:p>
      <w:pPr xmlns:w="http://schemas.openxmlformats.org/wordprocessingml/2006/main">
        <w:spacing w:after="0" w:line="202" w:lineRule="auto"/>
        <w:framePr w:w="380" w:h="134" w:wrap="auto" w:vAnchor="page" w:hAnchor="page" w:x="9780" w:y="9003"/>
        <w:rPr>
          <w:rFonts w:ascii="Calibri" w:cs="Calibri" w:eastAsia="Calibri" w:hAnsi="Calibri"/>
          <w:sz w:val="13"/>
          <w:szCs w:val="13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</w:rPr>
        <w:t xml:space="preserve">NIE DOTYCZY</w:t>
      </w:r>
    </w:p>
    <w:p>
      <w:pPr xmlns:w="http://schemas.openxmlformats.org/wordprocessingml/2006/main">
        <w:spacing w:after="0" w:line="202" w:lineRule="auto"/>
        <w:framePr w:w="3540" w:h="134" w:wrap="auto" w:vAnchor="page" w:hAnchor="page" w:x="6100" w:y="8696"/>
        <w:rPr>
          <w:rFonts w:ascii="Calibri" w:cs="Calibri" w:eastAsia="Calibri" w:hAnsi="Calibri"/>
          <w:sz w:val="13"/>
          <w:szCs w:val="13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  <w:highlight w:val="lightGray"/>
        </w:rPr>
        <w:t xml:space="preserve">Koszty uboczne ponoszone na określonych warunkach</w:t>
      </w:r>
    </w:p>
    <w:p>
      <w:pPr xmlns:w="http://schemas.openxmlformats.org/wordprocessingml/2006/main">
        <w:spacing w:after="0" w:line="202" w:lineRule="auto"/>
        <w:framePr w:w="1340" w:h="134" w:wrap="auto" w:vAnchor="page" w:hAnchor="page" w:x="6100" w:y="8386"/>
        <w:rPr>
          <w:rFonts w:ascii="Calibri" w:cs="Calibri" w:eastAsia="Calibri" w:hAnsi="Calibri"/>
          <w:sz w:val="13"/>
          <w:szCs w:val="13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  <w:highlight w:val="lightGray"/>
        </w:rPr>
        <w:t xml:space="preserve">Koszty transakcyjne</w:t>
      </w:r>
    </w:p>
    <w:p>
      <w:pPr xmlns:w="http://schemas.openxmlformats.org/wordprocessingml/2006/main">
        <w:spacing w:after="0" w:line="192" w:lineRule="auto"/>
        <w:framePr w:w="780" w:h="352" w:wrap="auto" w:vAnchor="page" w:hAnchor="page" w:x="9780" w:y="8168"/>
        <w:rPr>
          <w:rFonts w:ascii="Calibri" w:cs="Calibri" w:eastAsia="Calibri" w:hAnsi="Calibri"/>
          <w:sz w:val="18"/>
          <w:szCs w:val="18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Zmienna (w toku)</w:t>
      </w:r>
    </w:p>
    <w:p>
      <w:pPr xmlns:w="http://schemas.openxmlformats.org/wordprocessingml/2006/main">
        <w:spacing w:after="0" w:line="208" w:lineRule="auto"/>
        <w:framePr w:w="1980" w:h="573" w:wrap="auto" w:vAnchor="page" w:hAnchor="page" w:x="7620" w:y="7947"/>
        <w:rPr>
          <w:rFonts w:ascii="Calibri" w:cs="Calibri" w:eastAsia="Calibri" w:hAnsi="Calibri"/>
          <w:sz w:val="18"/>
          <w:szCs w:val="18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Depozyt zabezpieczający (wymagania mogą ulec zmianie i mogą różnić się w 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zależności od rodzaju działalności maklerskiej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)</w:t>
      </w:r>
    </w:p>
    <w:p>
      <w:pPr xmlns:w="http://schemas.openxmlformats.org/wordprocessingml/2006/main">
        <w:spacing w:after="0" w:line="202" w:lineRule="auto"/>
        <w:framePr w:w="380" w:h="134" w:wrap="auto" w:vAnchor="page" w:hAnchor="page" w:x="9780" w:y="7707"/>
        <w:rPr>
          <w:rFonts w:ascii="Calibri" w:cs="Calibri" w:eastAsia="Calibri" w:hAnsi="Calibri"/>
          <w:sz w:val="13"/>
          <w:szCs w:val="13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  <w:highlight w:val="lightGray"/>
        </w:rPr>
        <w:t xml:space="preserve">NIE DOTYCZY</w:t>
      </w:r>
    </w:p>
    <w:p>
      <w:pPr xmlns:w="http://schemas.openxmlformats.org/wordprocessingml/2006/main">
        <w:spacing w:after="0" w:line="192" w:lineRule="auto"/>
        <w:framePr w:w="1900" w:h="352" w:wrap="auto" w:vAnchor="page" w:hAnchor="page" w:x="7620" w:y="7489"/>
        <w:rPr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Nie ma 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opłaty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 za zarządzanie</w:t>
      </w:r>
    </w:p>
    <w:p>
      <w:pPr xmlns:w="http://schemas.openxmlformats.org/wordprocessingml/2006/main">
        <w:spacing w:after="0" w:line="202" w:lineRule="auto"/>
        <w:framePr w:w="1120" w:h="134" w:wrap="auto" w:vAnchor="page" w:hAnchor="page" w:x="6100" w:y="6809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Koszty Bieżące</w:t>
      </w:r>
    </w:p>
    <w:p>
      <w:pPr xmlns:w="http://schemas.openxmlformats.org/wordprocessingml/2006/main">
        <w:spacing w:after="0" w:line="228" w:lineRule="auto"/>
        <w:framePr w:w="1320" w:h="791" w:wrap="auto" w:vAnchor="page" w:hAnchor="page" w:x="6100" w:y="7049"/>
        <w:rPr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Opłaty za zarządzanie i inne koszty administracyjne lub operacyjne</w:t>
      </w:r>
    </w:p>
    <w:p>
      <w:pPr xmlns:w="http://schemas.openxmlformats.org/wordprocessingml/2006/main">
        <w:spacing w:after="0" w:line="193" w:lineRule="auto"/>
        <w:framePr w:w="1220" w:h="355" w:wrap="auto" w:vAnchor="page" w:hAnchor="page" w:x="9780" w:y="6589"/>
        <w:rPr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Kwota (w dowolnym momencie)</w:t>
      </w:r>
    </w:p>
    <w:p>
      <w:pPr xmlns:w="http://schemas.openxmlformats.org/wordprocessingml/2006/main">
        <w:spacing w:after="0" w:line="202" w:lineRule="auto"/>
        <w:framePr w:w="1740" w:h="134" w:wrap="auto" w:vAnchor="page" w:hAnchor="page" w:x="7620" w:y="6351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Premium, Komisja</w:t>
      </w:r>
    </w:p>
    <w:p>
      <w:pPr xmlns:w="http://schemas.openxmlformats.org/wordprocessingml/2006/main">
        <w:spacing w:after="0" w:line="202" w:lineRule="auto"/>
        <w:framePr w:w="700" w:h="134" w:wrap="auto" w:vAnchor="page" w:hAnchor="page" w:x="9780" w:y="6351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Zmienna</w:t>
      </w:r>
    </w:p>
    <w:p>
      <w:pPr xmlns:w="http://schemas.openxmlformats.org/wordprocessingml/2006/main">
        <w:spacing w:after="0" w:line="202" w:lineRule="auto"/>
        <w:framePr w:w="700" w:h="134" w:wrap="auto" w:vAnchor="page" w:hAnchor="page" w:x="9780" w:y="5672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Zmienna</w:t>
      </w:r>
    </w:p>
    <w:p>
      <w:pPr xmlns:w="http://schemas.openxmlformats.org/wordprocessingml/2006/main">
        <w:spacing w:after="0" w:line="221" w:lineRule="auto"/>
        <w:framePr w:w="1260" w:h="575" w:wrap="auto" w:vAnchor="page" w:hAnchor="page" w:x="6100" w:y="5230"/>
        <w:rPr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Koszty wejścia (na transakcję - otwarcie (wejście))</w:t>
      </w:r>
    </w:p>
    <w:p>
      <w:pPr xmlns:w="http://schemas.openxmlformats.org/wordprocessingml/2006/main">
        <w:spacing w:after="0" w:line="221" w:lineRule="auto"/>
        <w:framePr w:w="1120" w:h="575" w:wrap="auto" w:vAnchor="page" w:hAnchor="page" w:x="6100" w:y="5909"/>
        <w:rPr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Koszty wyjścia (na transakcję - zamknięcie (wyjście))</w:t>
      </w:r>
    </w:p>
    <w:p>
      <w:pPr xmlns:w="http://schemas.openxmlformats.org/wordprocessingml/2006/main">
        <w:spacing w:after="0" w:line="202" w:lineRule="auto"/>
        <w:framePr w:w="1240" w:h="134" w:wrap="auto" w:vAnchor="page" w:hAnchor="page" w:x="9780" w:y="4772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Kwota (początkowa)</w:t>
      </w:r>
    </w:p>
    <w:p>
      <w:pPr xmlns:w="http://schemas.openxmlformats.org/wordprocessingml/2006/main">
        <w:spacing w:after="0" w:line="202" w:lineRule="auto"/>
        <w:framePr w:w="2400" w:h="134" w:wrap="auto" w:vAnchor="page" w:hAnchor="page" w:x="6100" w:y="4772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Jednorazowe koszty przy wjeździe lub wyjeździe</w:t>
      </w:r>
    </w:p>
    <w:p>
      <w:pPr xmlns:w="http://schemas.openxmlformats.org/wordprocessingml/2006/main">
        <w:spacing w:after="0" w:line="216" w:lineRule="auto"/>
        <w:framePr w:w="1940" w:h="794" w:wrap="auto" w:vAnchor="page" w:hAnchor="page" w:x="7620" w:y="5012"/>
        <w:rPr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Premia (ustalana przez kupującego i sprzedającego), prowizja (ustalana przez biuro maklerskie)</w:t>
      </w:r>
    </w:p>
    <w:p>
      <w:pPr xmlns:w="http://schemas.openxmlformats.org/wordprocessingml/2006/main">
        <w:spacing w:after="0" w:line="189" w:lineRule="auto"/>
        <w:framePr w:w="1660" w:h="125" w:wrap="auto" w:vAnchor="page" w:hAnchor="page" w:x="6100" w:y="4509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Struktura kosztów</w:t>
      </w:r>
    </w:p>
    <w:p>
      <w:pPr xmlns:w="http://schemas.openxmlformats.org/wordprocessingml/2006/main">
        <w:spacing w:after="0" w:line="202" w:lineRule="auto"/>
        <w:framePr w:w="1500" w:h="134" w:wrap="auto" w:vAnchor="page" w:hAnchor="page" w:x="6100" w:y="3982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Roczny wpływ na koszty</w:t>
      </w:r>
    </w:p>
    <w:p>
      <w:pPr xmlns:w="http://schemas.openxmlformats.org/wordprocessingml/2006/main">
        <w:spacing w:after="0" w:line="202" w:lineRule="auto"/>
        <w:framePr w:w="640" w:h="134" w:wrap="auto" w:vAnchor="page" w:hAnchor="page" w:x="9780" w:y="3982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Różne</w:t>
      </w:r>
    </w:p>
    <w:p>
      <w:pPr xmlns:w="http://schemas.openxmlformats.org/wordprocessingml/2006/main">
        <w:spacing w:after="0" w:line="202" w:lineRule="auto"/>
        <w:framePr w:w="880" w:h="134" w:wrap="auto" w:vAnchor="page" w:hAnchor="page" w:x="6100" w:y="3711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Koszty ogółem</w:t>
      </w:r>
    </w:p>
    <w:p>
      <w:pPr xmlns:w="http://schemas.openxmlformats.org/wordprocessingml/2006/main">
        <w:spacing w:after="0" w:line="202" w:lineRule="auto"/>
        <w:framePr w:w="640" w:h="134" w:wrap="auto" w:vAnchor="page" w:hAnchor="page" w:x="9780" w:y="3711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Różne</w:t>
      </w:r>
    </w:p>
    <w:p>
      <w:pPr xmlns:w="http://schemas.openxmlformats.org/wordprocessingml/2006/main">
        <w:spacing w:after="0" w:line="189" w:lineRule="auto"/>
        <w:framePr w:w="1280" w:h="125" w:wrap="auto" w:vAnchor="page" w:hAnchor="page" w:x="6100" w:y="3451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Koszty W Czasie</w:t>
      </w:r>
    </w:p>
    <w:p>
      <w:pPr xmlns:w="http://schemas.openxmlformats.org/wordprocessingml/2006/main">
        <w:spacing w:after="0" w:line="202" w:lineRule="auto"/>
        <w:framePr w:w="820" w:h="134" w:wrap="auto" w:vAnchor="page" w:hAnchor="page" w:x="9780" w:y="3442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Zakończenie pracy</w:t>
      </w:r>
    </w:p>
    <w:p>
      <w:pPr xmlns:w="http://schemas.openxmlformats.org/wordprocessingml/2006/main">
        <w:ind w:left="220" w:right="4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414020</wp:posOffset>
                </wp:positionV>
                <wp:extent cx="6690360" cy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2.6pt" to="568.4pt,32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3836035</wp:posOffset>
                </wp:positionH>
                <wp:positionV relativeFrom="page">
                  <wp:posOffset>2142490</wp:posOffset>
                </wp:positionV>
                <wp:extent cx="2329815" cy="15875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329815" cy="15875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6" o:spid="_x0000_s1051" style="position:absolute;margin-left:302.05pt;margin-top:168.7pt;width:183.45pt;height:12.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ADADA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3896360</wp:posOffset>
                </wp:positionH>
                <wp:positionV relativeFrom="page">
                  <wp:posOffset>2160905</wp:posOffset>
                </wp:positionV>
                <wp:extent cx="2207260" cy="140335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207260" cy="14033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7" o:spid="_x0000_s1052" style="position:absolute;margin-left:306.8pt;margin-top:170.15pt;width:173.8pt;height:1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ADADA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6172200</wp:posOffset>
                </wp:positionH>
                <wp:positionV relativeFrom="page">
                  <wp:posOffset>2142490</wp:posOffset>
                </wp:positionV>
                <wp:extent cx="958850" cy="15875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958850" cy="15875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8" o:spid="_x0000_s1053" style="position:absolute;margin-left:486pt;margin-top:168.7pt;width:75.5pt;height:12.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ADADA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6240780</wp:posOffset>
                </wp:positionH>
                <wp:positionV relativeFrom="page">
                  <wp:posOffset>2160905</wp:posOffset>
                </wp:positionV>
                <wp:extent cx="827405" cy="140335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827405" cy="14033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9" o:spid="_x0000_s1054" style="position:absolute;margin-left:491.4pt;margin-top:170.15pt;width:65.15pt;height:1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ADADA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3822065</wp:posOffset>
                </wp:positionH>
                <wp:positionV relativeFrom="page">
                  <wp:posOffset>2134870</wp:posOffset>
                </wp:positionV>
                <wp:extent cx="3320415" cy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3204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00.95pt,168.1pt" to="562.4pt,168.1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3822065</wp:posOffset>
                </wp:positionH>
                <wp:positionV relativeFrom="page">
                  <wp:posOffset>2306955</wp:posOffset>
                </wp:positionV>
                <wp:extent cx="3320415" cy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3204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00.95pt,181.65pt" to="562.4pt,181.65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3822065</wp:posOffset>
                </wp:positionH>
                <wp:positionV relativeFrom="page">
                  <wp:posOffset>2477770</wp:posOffset>
                </wp:positionV>
                <wp:extent cx="3320415" cy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3204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00.95pt,195.1pt" to="562.4pt,195.1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6172200</wp:posOffset>
                </wp:positionH>
                <wp:positionV relativeFrom="page">
                  <wp:posOffset>2122805</wp:posOffset>
                </wp:positionV>
                <wp:extent cx="0" cy="52705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527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6pt,167.15pt" to="486pt,208.65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7136765</wp:posOffset>
                </wp:positionH>
                <wp:positionV relativeFrom="page">
                  <wp:posOffset>2122805</wp:posOffset>
                </wp:positionV>
                <wp:extent cx="0" cy="52705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527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1.95pt,167.15pt" to="561.95pt,208.65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3827780</wp:posOffset>
                </wp:positionH>
                <wp:positionV relativeFrom="page">
                  <wp:posOffset>2122805</wp:posOffset>
                </wp:positionV>
                <wp:extent cx="0" cy="52705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527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01.4pt,167.15pt" to="301.4pt,208.65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2125980</wp:posOffset>
                </wp:positionV>
                <wp:extent cx="6690360" cy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67.4pt" to="568.4pt,167.4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6225540</wp:posOffset>
                </wp:positionV>
                <wp:extent cx="6690360" cy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490.2pt" to="568.4pt,490.2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7766050</wp:posOffset>
                </wp:positionV>
                <wp:extent cx="6690360" cy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8" o:spid="_x0000_s106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611.5pt" to="568.4pt,611.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411480</wp:posOffset>
                </wp:positionV>
                <wp:extent cx="0" cy="8729345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7293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9" o:spid="_x0000_s106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2.4pt" to="41.85pt,719.7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411480</wp:posOffset>
                </wp:positionV>
                <wp:extent cx="0" cy="8729345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7293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2.4pt" to="568.2pt,719.7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UOKiK zostały zaprojektowane w taki sposób, aby wyniki dotyczące wszystkich opcji były pomiędzy UOKiK a grupą firm maklerskich zwanych członkami rozliczającymi, które posiadają pozycje wszystkich posiadaczy opcji i emitentów na swoich rachunkach UOKiK.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muszą spełniać wymogi finansowe UOKiK w zakresie uczestnictwa oraz ustanawiać zabezpieczenia dla pozycji emitentów opcji, które są przez nich notowane.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emitenta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wsparcie realizacji opcji oraz zarządzanie ryzykiem kontrahenta, aby ułatwić rozrachunek transakcji opcjami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 i możesz ponieść stratę do wysokości każdej kwoty należnej.</w:t>
      </w:r>
    </w:p>
    <w:p>
      <w:pPr>
        <w:spacing w:after="0" w:line="77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48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Jakie są koszty?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Osoba doradzająca lub sprzedająca Ci ten produkt może naliczyć Ci inne koszty.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Jeżeli tak,</w:t>
      </w:r>
    </w:p>
    <w:p>
      <w:pPr>
        <w:spacing w:after="0" w:line="68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68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Osoba ta przekaże Ci informacje o tych kosztach i ich wpływie na Twoją inwestycję.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-149860</wp:posOffset>
                </wp:positionV>
                <wp:extent cx="3320415" cy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04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4.95pt,-11.7999pt" to="526.4pt,-11.7999pt" o:allowincell="f" strokecolor="#000000" strokeweight="0.47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3378835</wp:posOffset>
                </wp:positionH>
                <wp:positionV relativeFrom="paragraph">
                  <wp:posOffset>17780</wp:posOffset>
                </wp:positionV>
                <wp:extent cx="3295015" cy="158115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015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2" o:spid="_x0000_s1067" style="position:absolute;margin-left:266.05pt;margin-top:1.4pt;width:259.45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3439160</wp:posOffset>
                </wp:positionH>
                <wp:positionV relativeFrom="paragraph">
                  <wp:posOffset>36830</wp:posOffset>
                </wp:positionV>
                <wp:extent cx="3171825" cy="139065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13906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3" o:spid="_x0000_s1068" style="position:absolute;margin-left:270.8pt;margin-top:2.9pt;width:249.75pt;height:1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13970</wp:posOffset>
                </wp:positionV>
                <wp:extent cx="3320415" cy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04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4.95pt,1.1pt" to="526.4pt,1.1pt" o:allowincell="f" strokecolor="#000000" strokeweight="0.48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181610</wp:posOffset>
                </wp:positionV>
                <wp:extent cx="3320415" cy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04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4.95pt,14.3pt" to="526.4pt,14.3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354330</wp:posOffset>
                </wp:positionV>
                <wp:extent cx="3320415" cy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04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" o:spid="_x0000_s107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4.95pt,27.9pt" to="526.4pt,27.9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925830</wp:posOffset>
                </wp:positionV>
                <wp:extent cx="3320415" cy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04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" o:spid="_x0000_s107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4.95pt,72.9pt" to="526.4pt,72.9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347980</wp:posOffset>
                </wp:positionV>
                <wp:extent cx="0" cy="101473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014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" o:spid="_x0000_s107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2pt,27.4pt" to="342pt,107.3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1356995</wp:posOffset>
                </wp:positionV>
                <wp:extent cx="3320415" cy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04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7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4.95pt,106.85pt" to="526.4pt,106.8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1647825</wp:posOffset>
                </wp:positionV>
                <wp:extent cx="3320415" cy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04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7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4.95pt,129.75pt" to="526.4pt,129.7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2218055</wp:posOffset>
                </wp:positionV>
                <wp:extent cx="3320415" cy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04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7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4.95pt,174.65pt" to="526.4pt,174.6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1642110</wp:posOffset>
                </wp:positionV>
                <wp:extent cx="0" cy="101346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0134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2pt,129.3pt" to="342pt,209.1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2649220</wp:posOffset>
                </wp:positionV>
                <wp:extent cx="3320415" cy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04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3" o:spid="_x0000_s107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4.95pt,208.6pt" to="526.4pt,208.6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2846070</wp:posOffset>
                </wp:positionV>
                <wp:extent cx="3320415" cy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04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4" o:spid="_x0000_s107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4.95pt,224.1pt" to="526.4pt,224.1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11430</wp:posOffset>
                </wp:positionV>
                <wp:extent cx="0" cy="303530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0353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5" o:spid="_x0000_s10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5.4pt,0.9pt" to="265.4pt,239.9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6679565</wp:posOffset>
                </wp:positionH>
                <wp:positionV relativeFrom="paragraph">
                  <wp:posOffset>11430</wp:posOffset>
                </wp:positionV>
                <wp:extent cx="0" cy="303530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0353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6" o:spid="_x0000_s108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5.95pt,0.9pt" to="525.95pt,239.9pt" o:allowincell="f" strokecolor="#000000" strokeweight="0.96pt"/>
            </w:pict>
          </mc:Fallback>
        </mc:AlternateContent>
      </w:r>
    </w:p>
    <w:p>
      <w:pPr>
        <w:spacing w:after="0" w:line="48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40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Łączne koszty opcji na dłużne papiery wartościowe zależą od wielu czynników.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Premia opcyjna to koszt zapłacony przez posiadacza na rzecz podmiotu zapisującego.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mające istotny wpływ na premię obejmują między innymi cenę/zysk bazowego papieru wartościowego, czas do wygaśnięcia opcji oraz cenę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opcje wiąże się z dodatkowymi kosztami, które obejmują kwestie podatkowe, koszty transakcji i wymogi dotyczące marży, które mogą mieć istotny wpływ na zysk lub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3378835</wp:posOffset>
                </wp:positionH>
                <wp:positionV relativeFrom="paragraph">
                  <wp:posOffset>-1342390</wp:posOffset>
                </wp:positionV>
                <wp:extent cx="2329815" cy="158115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815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7" o:spid="_x0000_s1082" style="position:absolute;margin-left:266.05pt;margin-top:-105.6999pt;width:183.45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3439160</wp:posOffset>
                </wp:positionH>
                <wp:positionV relativeFrom="paragraph">
                  <wp:posOffset>-1324610</wp:posOffset>
                </wp:positionV>
                <wp:extent cx="2207260" cy="140335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7260" cy="14033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8" o:spid="_x0000_s1083" style="position:absolute;margin-left:270.8pt;margin-top:-104.2999pt;width:173.8pt;height:1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-1342390</wp:posOffset>
                </wp:positionV>
                <wp:extent cx="958850" cy="158115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0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9" o:spid="_x0000_s1084" style="position:absolute;margin-left:450pt;margin-top:-105.6999pt;width:75.5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-1324610</wp:posOffset>
                </wp:positionV>
                <wp:extent cx="827405" cy="140335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14033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0" o:spid="_x0000_s1085" style="position:absolute;margin-left:455.4pt;margin-top:-104.2999pt;width:65.15pt;height:1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3378835</wp:posOffset>
                </wp:positionH>
                <wp:positionV relativeFrom="paragraph">
                  <wp:posOffset>-168910</wp:posOffset>
                </wp:positionV>
                <wp:extent cx="2329815" cy="27813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815" cy="27813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1" o:spid="_x0000_s1086" style="position:absolute;margin-left:266.05pt;margin-top:-13.2999pt;width:183.45pt;height:21.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3439160</wp:posOffset>
                </wp:positionH>
                <wp:positionV relativeFrom="paragraph">
                  <wp:posOffset>-21590</wp:posOffset>
                </wp:positionV>
                <wp:extent cx="2207260" cy="130175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7260" cy="13017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2" o:spid="_x0000_s1087" style="position:absolute;margin-left:270.8pt;margin-top:-1.6999pt;width:173.8pt;height:10.2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-168910</wp:posOffset>
                </wp:positionV>
                <wp:extent cx="958850" cy="27813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0" cy="27813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3" o:spid="_x0000_s1088" style="position:absolute;margin-left:450pt;margin-top:-13.2999pt;width:75.5pt;height:21.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1123950</wp:posOffset>
                </wp:positionV>
                <wp:extent cx="958850" cy="18288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0" cy="18288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4" o:spid="_x0000_s1089" style="position:absolute;margin-left:450pt;margin-top:88.5pt;width:75.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1170940</wp:posOffset>
                </wp:positionV>
                <wp:extent cx="827405" cy="13589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13589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5" o:spid="_x0000_s1090" style="position:absolute;margin-left:455.4pt;margin-top:92.2pt;width:65.15pt;height:10.7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-1356360</wp:posOffset>
                </wp:positionV>
                <wp:extent cx="0" cy="287020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8702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6" o:spid="_x0000_s109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50pt,-106.7999pt" to="450pt,119.2pt" o:allowincell="f" strokecolor="#000000" strokeweight="0.96pt"/>
            </w:pict>
          </mc:Fallback>
        </mc:AlternateContent>
      </w:r>
    </w:p>
    <w:p>
      <w:pPr>
        <w:spacing w:after="0" w:line="5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40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straty.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Na koszty transakcyjne składają się głównie prowizje (które są nakładane w transakcjach otwarcia, zamknięcia, wykonania i cesji), ale mogą również obejmować koszty marży i odsetek.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Depozyt zabezpieczający oznacza aktywa, które emitent musi zdeponować w swojej firmie maklerskiej jako zabezpieczenie zobowiązania, stosownie do przypadku, do zakupu lub sprzedaży bazowych odsetek lub zapłaty kwoty rozliczenia gotówkowego.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wykonania opcji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-55880</wp:posOffset>
                </wp:positionV>
                <wp:extent cx="0" cy="206375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063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7" o:spid="_x0000_s109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2pt,-4.3999pt" to="342pt,11.85pt" o:allowincell="f" strokecolor="#000000" strokeweight="0.96pt"/>
            </w:pict>
          </mc:Fallback>
        </mc:AlternateContent>
      </w: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i przypisane, pisarz może ponieść dodatkowe koszty.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-28575</wp:posOffset>
                </wp:positionV>
                <wp:extent cx="3320415" cy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04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8" o:spid="_x0000_s109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4.95pt,-2.2499pt" to="526.4pt,-2.2499pt" o:allowincell="f" strokecolor="#000000" strokeweight="0.96pt"/>
            </w:pict>
          </mc:Fallback>
        </mc:AlternateContent>
      </w:r>
    </w:p>
    <w:p>
      <w:pPr>
        <w:spacing w:after="0" w:line="47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34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Niezależnie od kosztów inwestorskich, OCC pobiera związane z tym opłaty za rozliczenie tego produktu swoim członkom rozliczającym, ale nie bezpośrednio Tobie: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https://www.theocc.com/company-information/schedule-of-fees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1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mam go trzymać i czy mogę wcześnie wyjść z transakcji (czy mogę wcześniej wyjąć pieniądze)?</w:t>
      </w:r>
    </w:p>
    <w:p>
      <w:pPr>
        <w:spacing w:after="0" w:line="67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Decyzja o wykonaniu opcji jest dla posiadacza kluczową decyzją inwestycyjną, podobnie jak decyzja zarówno posiadaczy opcji, jak i emitentów o zamknięciu istniejącej pozycji opcyjnej przed wygaśnięciem opcji lub jej wykonaniem i przypisaniem poprzez zawarcie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związku z tym inwestorzy ponoszą wyłączną odpowiedzialność za ustalenie, czy i kiedy powinni wykonać swoją umowę (umowy) opcji oraz czy zamknąć istniejącą pozycję opcyjną.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zamkną istniejącą pozycję opcyjną, rezygnują z wszelkich późniejszych zysków lub strat związanych z tą opcją.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opcje mają datę wygaśnięcia, po której opcja nie będzie miała wartości i nie będzie już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Posiadacze opcji w stylu amerykańskim, którzy chcą skorzystać z nich przed upływem terminu ważności, mogą to zrobić, przekazując brokerowi instrukcje dotyczące wykonania opcji, zgodnie z procedurą brokera.</w:t>
      </w:r>
    </w:p>
    <w:p>
      <w:pPr>
        <w:spacing w:after="0" w:line="8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34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 skargę do Urzędu Regulacji Sektora Finansowego ("FINRA")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http://www.finra.org/investors/investor-complaint-center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 lub SEC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https://www.sec.gov/oiea/Complaint.html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).</w:t>
      </w:r>
    </w:p>
    <w:p>
      <w:pPr>
        <w:spacing w:after="0" w:line="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340"/>
        <w:spacing w:after="0"/>
        <w:tabs>
          <w:tab w:leader="none" w:pos="53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Centrum Reklamacji Inwestorów FINRA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USA.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Komisja Papierów Wartościowych i Giełd</w:t>
      </w:r>
    </w:p>
    <w:p>
      <w:pPr xmlns:w="http://schemas.openxmlformats.org/wordprocessingml/2006/main">
        <w:ind w:left="380"/>
        <w:spacing w:after="0"/>
        <w:tabs>
          <w:tab w:leader="none" w:pos="53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9509 Key West Avenue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Biuro Edukacji i Rzecznictwa Inwestorskiego</w:t>
      </w:r>
    </w:p>
    <w:p>
      <w:pPr xmlns:w="http://schemas.openxmlformats.org/wordprocessingml/2006/main">
        <w:ind w:left="380"/>
        <w:spacing w:after="0"/>
        <w:tabs>
          <w:tab w:leader="none" w:pos="53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Rockville, MD 20850-3329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100 F Street, Gdzie Indziej Niewymienione.</w:t>
      </w:r>
    </w:p>
    <w:p>
      <w:pPr xmlns:w="http://schemas.openxmlformats.org/wordprocessingml/2006/main">
        <w:ind w:left="380"/>
        <w:spacing w:after="0"/>
        <w:tabs>
          <w:tab w:leader="none" w:pos="53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Telefon: (240) 386-HELP (4357) Faks: (866) 397-3290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1"/>
          <w:szCs w:val="21"/>
          <w:color w:val="auto"/>
        </w:rPr>
        <w:t xml:space="preserve">Waszyngton, DC 20549-0213 Faks: (202) 772-9295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187325</wp:posOffset>
                </wp:positionV>
                <wp:extent cx="6690360" cy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9" o:spid="_x0000_s109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.6pt,14.75pt" to="532.4pt,14.75pt" o:allowincell="f" strokecolor="#000000" strokeweight="0.48pt"/>
            </w:pict>
          </mc:Fallback>
        </mc:AlternateContent>
      </w:r>
    </w:p>
    <w:p>
      <w:pPr>
        <w:spacing w:after="0" w:line="259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520"/>
      </w:cols>
      <w:pgMar w:left="720" w:top="702" w:right="1000" w:bottom="633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1E3ADB8F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77205E8C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4D4FD1D2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2024-05-21T09:36:22Z</dcterms:created>
  <dcterms:modified xsi:type="dcterms:W3CDTF">2024-05-21T09:36:22Z</dcterms:modified>
</cp:coreProperties>
</file>