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534670</wp:posOffset>
                </wp:positionH>
                <wp:positionV relativeFrom="page">
                  <wp:posOffset>463550</wp:posOffset>
                </wp:positionV>
                <wp:extent cx="6891655" cy="496570"/>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91655" cy="496570"/>
                        </a:xfrm>
                        <a:prstGeom prst="rect">
                          <a:avLst/>
                        </a:prstGeom>
                        <a:solidFill>
                          <a:srgbClr val="1F4E79"/>
                        </a:solidFill>
                      </wps:spPr>
                      <wps:bodyPr/>
                    </wps:wsp>
                  </a:graphicData>
                </a:graphic>
              </wp:anchor>
            </w:drawing>
          </mc:Choice>
          <mc:Fallback>
            <w:pict>
              <v:rect xmlns:v="urn:schemas-microsoft-com:vml" id="Shape 1" o:spid="_x0000_s1026" style="position:absolute;margin-left:42.1pt;margin-top:36.5pt;width:542.65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1F4E79"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582295</wp:posOffset>
                </wp:positionH>
                <wp:positionV relativeFrom="page">
                  <wp:posOffset>463550</wp:posOffset>
                </wp:positionV>
                <wp:extent cx="6797040" cy="49657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97040" cy="496570"/>
                        </a:xfrm>
                        <a:prstGeom prst="rect">
                          <a:avLst/>
                        </a:prstGeom>
                        <a:solidFill>
                          <a:srgbClr val="000000"/>
                        </a:solidFill>
                      </wps:spPr>
                      <wps:bodyPr/>
                    </wps:wsp>
                  </a:graphicData>
                </a:graphic>
              </wp:anchor>
            </w:drawing>
          </mc:Choice>
          <mc:Fallback>
            <w:pict>
              <v:rect xmlns:v="urn:schemas-microsoft-com:vml" id="Shape 2" o:spid="_x0000_s1027" style="position:absolute;margin-left:45.85pt;margin-top:36.5pt;width:535.2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000000"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459740</wp:posOffset>
                </wp:positionV>
                <wp:extent cx="6903720" cy="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 o:spid="_x0000_s102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6.2pt" to="585.2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962660</wp:posOffset>
                </wp:positionV>
                <wp:extent cx="6903720" cy="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4" o:spid="_x0000_s102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75.8pt" to="585.2pt,75.8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1837690</wp:posOffset>
                </wp:positionV>
                <wp:extent cx="6903720" cy="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5" o:spid="_x0000_s103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144.7pt" to="585.2pt,144.7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3223260</wp:posOffset>
                </wp:positionV>
                <wp:extent cx="6903720"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6" o:spid="_x0000_s103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253.8pt" to="585.2pt,253.8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4422140</wp:posOffset>
                </wp:positionV>
                <wp:extent cx="6903720"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7" o:spid="_x0000_s103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48.2pt" to="585.2pt,348.2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457200</wp:posOffset>
                </wp:positionV>
                <wp:extent cx="0" cy="874776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74776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8" o:spid="_x0000_s103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6pt" to="41.85pt,724.8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7429500</wp:posOffset>
                </wp:positionH>
                <wp:positionV relativeFrom="page">
                  <wp:posOffset>457200</wp:posOffset>
                </wp:positionV>
                <wp:extent cx="0" cy="874776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74776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9" o:spid="_x0000_s103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85pt,36pt" to="585pt,724.8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w:t xml:space="preserve">Belangrijke informatie</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w:t xml:space="preserve">Document - Lange index futures contract</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-61595</wp:posOffset>
                </wp:positionH>
                <wp:positionV relativeFrom="paragraph">
                  <wp:posOffset>25400</wp:posOffset>
                </wp:positionV>
                <wp:extent cx="6891020" cy="86868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91020" cy="868680"/>
                        </a:xfrm>
                        <a:prstGeom prst="rect">
                          <a:avLst/>
                        </a:prstGeom>
                        <a:solidFill>
                          <a:srgbClr val="9CC2E5"/>
                        </a:solidFill>
                      </wps:spPr>
                      <wps:bodyPr/>
                    </wps:wsp>
                  </a:graphicData>
                </a:graphic>
              </wp:anchor>
            </w:drawing>
          </mc:Choice>
          <mc:Fallback>
            <w:pict>
              <v:rect id="Shape 10" o:spid="_x0000_s1035" style="position:absolute;margin-left:-4.8499pt;margin-top:2pt;width:542.6pt;height:68.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9CC2E5"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doel</w:t>
      </w:r>
    </w:p>
    <w:p>
      <w:pPr>
        <w:spacing w:after="0" w:line="68" w:lineRule="exact"/>
        <w:rPr>
          <w:sz w:val="24"/>
          <w:szCs w:val="24"/>
          <w:color w:val="auto"/>
        </w:rPr>
      </w:pPr>
    </w:p>
    <w:p>
      <w:pPr xmlns:w="http://schemas.openxmlformats.org/wordprocessingml/2006/main">
        <w:jc w:val="both"/>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In dit document vindt u belangrijke informatie over dit beleggingsproduct.</w:t>
      </w:r>
      <w:r>
        <w:rPr xmlns:w="http://schemas.openxmlformats.org/wordprocessingml/2006/main">
          <w:rFonts w:ascii="Calibri" w:cs="Calibri" w:eastAsia="Calibri" w:hAnsi="Calibri"/>
          <w:sz w:val="22"/>
          <w:szCs w:val="22"/>
          <w:color w:val="auto"/>
        </w:rPr>
        <w:t xml:space="preserve"> Het is geen marketingmateriaal.</w:t>
      </w:r>
      <w:r>
        <w:rPr xmlns:w="http://schemas.openxmlformats.org/wordprocessingml/2006/main">
          <w:rFonts w:ascii="Calibri" w:cs="Calibri" w:eastAsia="Calibri" w:hAnsi="Calibri"/>
          <w:sz w:val="22"/>
          <w:szCs w:val="22"/>
          <w:color w:val="auto"/>
        </w:rPr>
        <w:t xml:space="preserve"> De informatie is wettelijk vereist om u te helpen de aard, risico's, kosten, potentiële winsten en verliezen van dit product te begrijpen en om u te helpen het te vergelijken met andere producten.</w:t>
      </w:r>
      <w:r>
        <w:rPr xmlns:w="http://schemas.openxmlformats.org/wordprocessingml/2006/main">
          <w:rFonts w:ascii="Calibri" w:cs="Calibri" w:eastAsia="Calibri" w:hAnsi="Calibri"/>
          <w:sz w:val="22"/>
          <w:szCs w:val="22"/>
          <w:color w:val="auto"/>
        </w:rPr>
        <w:t xml:space="preserve"> Dit is een document dat alleen in het Engels is opgesteld en dat niet in een andere taal mag worden vertaald.</w:t>
      </w:r>
    </w:p>
    <w:p>
      <w:pPr>
        <w:spacing w:after="0" w:line="1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voortbrengsel</w:t>
      </w:r>
    </w:p>
    <w:p>
      <w:pPr>
        <w:spacing w:after="0" w:line="68" w:lineRule="exact"/>
        <w:rPr>
          <w:sz w:val="24"/>
          <w:szCs w:val="24"/>
          <w:color w:val="auto"/>
        </w:rPr>
      </w:pPr>
    </w:p>
    <w:p>
      <w:pPr xmlns:w="http://schemas.openxmlformats.org/wordprocessingml/2006/main">
        <w:ind w:right="300"/>
        <w:spacing w:after="0" w:line="231"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Amerikaanse index futures</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De Options Clearing Corporation ("OCC") verstrekt dit document onder EU-verordening nr. 1286/2014 voor indexfutures.</w:t>
      </w:r>
      <w:r>
        <w:rPr xmlns:w="http://schemas.openxmlformats.org/wordprocessingml/2006/main">
          <w:rFonts w:ascii="Calibri" w:cs="Calibri" w:eastAsia="Calibri" w:hAnsi="Calibri"/>
          <w:sz w:val="22"/>
          <w:szCs w:val="22"/>
          <w:color w:val="auto"/>
        </w:rPr>
        <w:t xml:space="preserve"> Indexfutures worden genoteerd en verhandeld op bepaalde Amerikaanse futuresbeurzen, die aangewezen zijn als contractmarkten die worden gereguleerd door de Amerikaanse Commodity Futures Trading Commission ("CFTC") en gezamenlijk kunnen worden gereguleerd als een nationale effectenbeurs door de Amerikaanse Securities and Exchange Commission ("SEC"), en worden gecleard en afgewikkeld door OCC, een in de SEC geregistreerd clearingagentschap en een in de CFTC geregistreerde derivatenclearingorganisatie.</w:t>
      </w:r>
      <w:r>
        <w:rPr xmlns:w="http://schemas.openxmlformats.org/wordprocessingml/2006/main">
          <w:rFonts w:ascii="Calibri" w:cs="Calibri" w:eastAsia="Calibri" w:hAnsi="Calibri"/>
          <w:sz w:val="22"/>
          <w:szCs w:val="22"/>
          <w:color w:val="auto"/>
        </w:rPr>
        <w:t xml:space="preserve"> Voor meer informatie, waaronder de contactgegevens over futures-uitwisselingen, kunnen beleggers de website van OCC bezoeken op</w:t>
      </w:r>
      <w:r>
        <w:rPr xmlns:w="http://schemas.openxmlformats.org/wordprocessingml/2006/main">
          <w:rFonts w:ascii="Calibri" w:cs="Calibri" w:eastAsia="Calibri" w:hAnsi="Calibri"/>
          <w:sz w:val="22"/>
          <w:szCs w:val="22"/>
          <w:u w:val="single" w:color="auto"/>
          <w:color w:val="0563C1"/>
        </w:rPr>
        <w:t xml:space="preserve"> www.theocc.com</w:t>
      </w:r>
      <w:r>
        <w:rPr xmlns:w="http://schemas.openxmlformats.org/wordprocessingml/2006/main">
          <w:rFonts w:ascii="Calibri" w:cs="Calibri" w:eastAsia="Calibri" w:hAnsi="Calibri"/>
          <w:sz w:val="22"/>
          <w:szCs w:val="22"/>
          <w:color w:val="000000"/>
        </w:rPr>
        <w:t xml:space="preserve"> of contact opnemen met OCC op 1-312-322-6200.</w:t>
      </w:r>
      <w:r>
        <w:rPr xmlns:w="http://schemas.openxmlformats.org/wordprocessingml/2006/main">
          <w:rFonts w:ascii="Calibri" w:cs="Calibri" w:eastAsia="Calibri" w:hAnsi="Calibri"/>
          <w:sz w:val="22"/>
          <w:szCs w:val="22"/>
          <w:color w:val="000000"/>
        </w:rPr>
        <w:t xml:space="preserve"> Bijgewerkt op 28 december 2022 en 20 april 2023.</w:t>
      </w:r>
    </w:p>
    <w:p>
      <w:pPr>
        <w:spacing w:after="0" w:line="79" w:lineRule="exact"/>
        <w:rPr>
          <w:sz w:val="24"/>
          <w:szCs w:val="24"/>
          <w:color w:val="auto"/>
        </w:rPr>
      </w:pPr>
    </w:p>
    <w:p>
      <w:pPr xmlns:w="http://schemas.openxmlformats.org/wordprocessingml/2006/main">
        <w:ind w:right="80"/>
        <w:spacing w:after="0" w:line="231" w:lineRule="auto"/>
        <w:rPr>
          <w:sz w:val="20"/>
          <w:szCs w:val="20"/>
          <w:color w:val="auto"/>
        </w:rPr>
      </w:pPr>
      <w:r>
        <w:rPr xmlns:w="http://schemas.openxmlformats.org/wordprocessingml/2006/main">
          <w:rFonts w:ascii="Calibri" w:cs="Calibri" w:eastAsia="Calibri" w:hAnsi="Calibri"/>
          <w:sz w:val="22"/>
          <w:szCs w:val="22"/>
          <w:color w:val="auto"/>
        </w:rPr>
        <w:t xml:space="preserve">Waarschuwing.</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b w:val="1"/>
          <w:bCs w:val="1"/>
          <w:color w:val="auto"/>
        </w:rPr>
        <w:t xml:space="preserve">U staat op het punt een product te kopen dat niet eenvoudig is en moeilijk te begrijpen is.</w:t>
      </w:r>
      <w:r>
        <w:rPr xmlns:w="http://schemas.openxmlformats.org/wordprocessingml/2006/main">
          <w:rFonts w:ascii="Calibri" w:cs="Calibri" w:eastAsia="Calibri" w:hAnsi="Calibri"/>
          <w:sz w:val="22"/>
          <w:szCs w:val="22"/>
          <w:color w:val="auto"/>
        </w:rPr>
        <w:t xml:space="preserve"> Beleggers mogen geen indexfutures verhandelen totdat zij dit document en eventuele aanvullende informatie van hun makelaar hebben gelezen en begrepen, waarvan de inhoud de </w:t>
      </w:r>
      <w:r>
        <w:rPr xmlns:w="http://schemas.openxmlformats.org/wordprocessingml/2006/main">
          <w:rFonts w:ascii="Calibri" w:cs="Calibri" w:eastAsia="Calibri" w:hAnsi="Calibri"/>
          <w:sz w:val="22"/>
          <w:szCs w:val="22"/>
          <w:u w:val="single" w:color="auto"/>
          <w:color w:val="auto"/>
        </w:rPr>
        <w:t xml:space="preserve">risicoopenbaarmakingsverklaring</w:t>
      </w:r>
      <w:r>
        <w:rPr xmlns:w="http://schemas.openxmlformats.org/wordprocessingml/2006/main">
          <w:rFonts w:ascii="Calibri" w:cs="Calibri" w:eastAsia="Calibri" w:hAnsi="Calibri"/>
          <w:sz w:val="22"/>
          <w:szCs w:val="22"/>
          <w:color w:val="auto"/>
        </w:rPr>
        <w:t xml:space="preserve"> van de National Futures Association ("NFA")</w:t>
      </w:r>
      <w:r>
        <w:rPr xmlns:w="http://schemas.openxmlformats.org/wordprocessingml/2006/main">
          <w:rFonts w:ascii="Calibri" w:cs="Calibri" w:eastAsia="Calibri" w:hAnsi="Calibri"/>
          <w:sz w:val="22"/>
          <w:szCs w:val="22"/>
          <w:u w:val="single" w:color="auto"/>
          <w:color w:val="auto"/>
        </w:rPr>
        <w:t xml:space="preserve"> voor futurescontracten voor effecten</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u w:val="single" w:color="auto"/>
          <w:color w:val="0563C1"/>
        </w:rPr>
        <w:t xml:space="preserve">https://www.nfa.futures.org/investors/investor-resources/files/security-futures-disclosure.pdf</w:t>
      </w:r>
      <w:r>
        <w:rPr xmlns:w="http://schemas.openxmlformats.org/wordprocessingml/2006/main">
          <w:rFonts w:ascii="Calibri" w:cs="Calibri" w:eastAsia="Calibri" w:hAnsi="Calibri"/>
          <w:sz w:val="22"/>
          <w:szCs w:val="22"/>
          <w:color w:val="000000"/>
        </w:rPr>
        <w:t xml:space="preserve">, en de </w:t>
      </w:r>
      <w:r>
        <w:rPr xmlns:w="http://schemas.openxmlformats.org/wordprocessingml/2006/main">
          <w:rFonts w:ascii="Calibri" w:cs="Calibri" w:eastAsia="Calibri" w:hAnsi="Calibri"/>
          <w:sz w:val="22"/>
          <w:szCs w:val="22"/>
          <w:u w:val="single" w:color="auto"/>
          <w:color w:val="000000"/>
        </w:rPr>
        <w:t xml:space="preserve">Uniform Futures and Options on Futures Risk Disclosures</w:t>
      </w:r>
      <w:r>
        <w:rPr xmlns:w="http://schemas.openxmlformats.org/wordprocessingml/2006/main">
          <w:rFonts w:ascii="Calibri" w:cs="Calibri" w:eastAsia="Calibri" w:hAnsi="Calibri"/>
          <w:sz w:val="22"/>
          <w:szCs w:val="22"/>
          <w:color w:val="000000"/>
        </w:rPr>
        <w:t xml:space="preserve"> van de Futures Industry Association</w:t>
      </w:r>
      <w:r>
        <w:rPr xmlns:w="http://schemas.openxmlformats.org/wordprocessingml/2006/main">
          <w:rFonts w:ascii="Calibri" w:cs="Calibri" w:eastAsia="Calibri" w:hAnsi="Calibri"/>
          <w:sz w:val="22"/>
          <w:szCs w:val="22"/>
          <w:color w:val="auto"/>
        </w:rPr>
        <w:t xml:space="preserve"> kan omvatten</w:t>
      </w:r>
      <w:r>
        <w:rPr xmlns:w="http://schemas.openxmlformats.org/wordprocessingml/2006/main">
          <w:rFonts w:ascii="Calibri" w:cs="Calibri" w:eastAsia="Calibri" w:hAnsi="Calibri"/>
          <w:sz w:val="22"/>
          <w:szCs w:val="22"/>
          <w:color w:val="000000"/>
        </w:rPr>
        <w:t xml:space="preserve">,</w:t>
      </w:r>
      <w:r>
        <w:rPr xmlns:w="http://schemas.openxmlformats.org/wordprocessingml/2006/main">
          <w:rFonts w:ascii="Calibri" w:cs="Calibri" w:eastAsia="Calibri" w:hAnsi="Calibri"/>
          <w:sz w:val="22"/>
          <w:szCs w:val="22"/>
          <w:u w:val="single" w:color="auto"/>
          <w:color w:val="0563C1"/>
        </w:rPr>
        <w:t xml:space="preserve"> https://lc.fia.org/uniform-futures-and-options-futures-risk-disclosures</w:t>
      </w:r>
      <w:r>
        <w:rPr xmlns:w="http://schemas.openxmlformats.org/wordprocessingml/2006/main">
          <w:rFonts w:ascii="Calibri" w:cs="Calibri" w:eastAsia="Calibri" w:hAnsi="Calibri"/>
          <w:sz w:val="22"/>
          <w:szCs w:val="22"/>
          <w:i w:val="1"/>
          <w:iCs w:val="1"/>
          <w:color w:val="000000"/>
        </w:rPr>
        <w:t xml:space="preserve">.</w:t>
      </w:r>
      <w:r>
        <w:rPr xmlns:w="http://schemas.openxmlformats.org/wordprocessingml/2006/main">
          <w:rFonts w:ascii="Calibri" w:cs="Calibri" w:eastAsia="Calibri" w:hAnsi="Calibri"/>
          <w:sz w:val="22"/>
          <w:szCs w:val="22"/>
          <w:color w:val="000000"/>
        </w:rPr>
        <w:t xml:space="preserve"> Informatieverschaffing hierin moet worden geïnterpreteerd op een </w:t>
      </w:r>
      <w:r>
        <w:rPr xmlns:w="http://schemas.openxmlformats.org/wordprocessingml/2006/main">
          <w:rFonts w:ascii="Calibri" w:cs="Calibri" w:eastAsia="Calibri" w:hAnsi="Calibri"/>
          <w:sz w:val="22"/>
          <w:szCs w:val="22"/>
          <w:color w:val="000000"/>
        </w:rPr>
        <w:t xml:space="preserve">manier die in overeenstemming is met deze openbaarmakingen.</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-61595</wp:posOffset>
                </wp:positionH>
                <wp:positionV relativeFrom="paragraph">
                  <wp:posOffset>23495</wp:posOffset>
                </wp:positionV>
                <wp:extent cx="6891020" cy="477139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91020" cy="4771390"/>
                        </a:xfrm>
                        <a:prstGeom prst="rect">
                          <a:avLst/>
                        </a:prstGeom>
                        <a:solidFill>
                          <a:srgbClr val="BDD6EE"/>
                        </a:solidFill>
                      </wps:spPr>
                      <wps:bodyPr/>
                    </wps:wsp>
                  </a:graphicData>
                </a:graphic>
              </wp:anchor>
            </w:drawing>
          </mc:Choice>
          <mc:Fallback>
            <w:pict>
              <v:rect id="Shape 11" o:spid="_x0000_s1036" style="position:absolute;margin-left:-4.8499pt;margin-top:1.85pt;width:542.6pt;height:375.7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BDD6EE"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Wat is dit product?</w:t>
      </w:r>
    </w:p>
    <w:p>
      <w:pPr>
        <w:spacing w:after="0" w:line="39"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type</w:t>
      </w:r>
    </w:p>
    <w:p>
      <w:pPr>
        <w:spacing w:after="0" w:line="108" w:lineRule="exact"/>
        <w:rPr>
          <w:sz w:val="24"/>
          <w:szCs w:val="24"/>
          <w:color w:val="auto"/>
        </w:rPr>
      </w:pPr>
    </w:p>
    <w:p>
      <w:pPr xmlns:w="http://schemas.openxmlformats.org/wordprocessingml/2006/main">
        <w:ind w:right="180"/>
        <w:spacing w:after="0" w:line="234" w:lineRule="auto"/>
        <w:rPr>
          <w:sz w:val="20"/>
          <w:szCs w:val="20"/>
          <w:color w:val="auto"/>
        </w:rPr>
      </w:pPr>
      <w:r>
        <w:rPr xmlns:w="http://schemas.openxmlformats.org/wordprocessingml/2006/main">
          <w:rFonts w:ascii="Calibri" w:cs="Calibri" w:eastAsia="Calibri" w:hAnsi="Calibri"/>
          <w:sz w:val="22"/>
          <w:szCs w:val="22"/>
          <w:color w:val="auto"/>
        </w:rPr>
        <w:t xml:space="preserve">Een index futures contract is een overeenkomst tussen twee partijen om een bepaalde onderliggende index te kopen of te verkopen tegen een bepaalde prijs op een toekomstige datum.</w:t>
      </w:r>
      <w:r>
        <w:rPr xmlns:w="http://schemas.openxmlformats.org/wordprocessingml/2006/main">
          <w:rFonts w:ascii="Calibri" w:cs="Calibri" w:eastAsia="Calibri" w:hAnsi="Calibri"/>
          <w:sz w:val="22"/>
          <w:szCs w:val="22"/>
          <w:color w:val="auto"/>
        </w:rPr>
        <w:t xml:space="preserve"> Een index is een maatstaf voor de koersen of andere eigenschappen van een groep effecten of ander onderliggend belang.</w:t>
      </w:r>
      <w:r>
        <w:rPr xmlns:w="http://schemas.openxmlformats.org/wordprocessingml/2006/main">
          <w:rFonts w:ascii="Calibri" w:cs="Calibri" w:eastAsia="Calibri" w:hAnsi="Calibri"/>
          <w:sz w:val="22"/>
          <w:szCs w:val="22"/>
          <w:color w:val="auto"/>
        </w:rPr>
        <w:t xml:space="preserve"> Een index kan bijvoorbeeld zo zijn ontworpen dat deze representatief is voor de prijzen van een groep effecten met een aandelenkarakter of om de voorspelde volatiliteit van een index te meten.</w:t>
      </w:r>
      <w:r>
        <w:rPr xmlns:w="http://schemas.openxmlformats.org/wordprocessingml/2006/main">
          <w:rFonts w:ascii="Calibri" w:cs="Calibri" w:eastAsia="Calibri" w:hAnsi="Calibri"/>
          <w:sz w:val="22"/>
          <w:szCs w:val="22"/>
          <w:color w:val="auto"/>
        </w:rPr>
        <w:t xml:space="preserve"> Indexen variëren in de manier waarop ze worden berekend.</w:t>
      </w:r>
      <w:r>
        <w:rPr xmlns:w="http://schemas.openxmlformats.org/wordprocessingml/2006/main">
          <w:rFonts w:ascii="Calibri" w:cs="Calibri" w:eastAsia="Calibri" w:hAnsi="Calibri"/>
          <w:sz w:val="22"/>
          <w:szCs w:val="22"/>
          <w:color w:val="auto"/>
        </w:rPr>
        <w:t xml:space="preserve"> Een persoon die een index futures-contract koopt, gaat een contract aan om de onderliggende index te kopen en wordt gezegd dat het "lang" is in het contract.</w:t>
      </w:r>
      <w:r>
        <w:rPr xmlns:w="http://schemas.openxmlformats.org/wordprocessingml/2006/main">
          <w:rFonts w:ascii="Calibri" w:cs="Calibri" w:eastAsia="Calibri" w:hAnsi="Calibri"/>
          <w:sz w:val="22"/>
          <w:szCs w:val="22"/>
          <w:color w:val="auto"/>
        </w:rPr>
        <w:t xml:space="preserve"> De blootstelling aan de onderliggende index is daarom indirect, omdat de waarde van de toekomst is afgeleid van de waarde van de onderliggende index in plaats van de waarde ervan.</w:t>
      </w:r>
      <w:r>
        <w:rPr xmlns:w="http://schemas.openxmlformats.org/wordprocessingml/2006/main">
          <w:rFonts w:ascii="Calibri" w:cs="Calibri" w:eastAsia="Calibri" w:hAnsi="Calibri"/>
          <w:sz w:val="22"/>
          <w:szCs w:val="22"/>
          <w:color w:val="auto"/>
        </w:rPr>
        <w:t xml:space="preserve"> De vervaldata voor indexfutures variëren.</w:t>
      </w:r>
      <w:r>
        <w:rPr xmlns:w="http://schemas.openxmlformats.org/wordprocessingml/2006/main">
          <w:rFonts w:ascii="Calibri" w:cs="Calibri" w:eastAsia="Calibri" w:hAnsi="Calibri"/>
          <w:sz w:val="22"/>
          <w:szCs w:val="22"/>
          <w:color w:val="auto"/>
        </w:rPr>
        <w:t xml:space="preserve"> OCC mag de toekomst niet eenzijdig beëindigen.</w:t>
      </w:r>
      <w:r>
        <w:rPr xmlns:w="http://schemas.openxmlformats.org/wordprocessingml/2006/main">
          <w:rFonts w:ascii="Calibri" w:cs="Calibri" w:eastAsia="Calibri" w:hAnsi="Calibri"/>
          <w:sz w:val="22"/>
          <w:szCs w:val="22"/>
          <w:color w:val="auto"/>
        </w:rPr>
        <w:t xml:space="preserve"> In bepaalde buitengewone omstandigheden kan een termijnbeurs eenzijdig de voorwaarden van het futurescontract wijzigen of het contract beëindigen.</w:t>
      </w:r>
      <w:r>
        <w:rPr xmlns:w="http://schemas.openxmlformats.org/wordprocessingml/2006/main">
          <w:rFonts w:ascii="Calibri" w:cs="Calibri" w:eastAsia="Calibri" w:hAnsi="Calibri"/>
          <w:sz w:val="22"/>
          <w:szCs w:val="22"/>
          <w:color w:val="auto"/>
        </w:rPr>
        <w:t xml:space="preserve"> Bepaalde gevallen, zoals een wijziging in de samenstelling of berekening van de index, kunnen leiden tot een wijziging van de voorwaarden van het toekomstige indexcontract volgens de regels van OCC, die kunnen verschillen van de methodologie die wordt gebruikt in Europese optiemarkten.</w:t>
      </w:r>
    </w:p>
    <w:p>
      <w:pPr>
        <w:spacing w:after="0" w:line="8"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Doelstellingen</w:t>
      </w:r>
    </w:p>
    <w:p>
      <w:pPr>
        <w:spacing w:after="0" w:line="105" w:lineRule="exact"/>
        <w:rPr>
          <w:sz w:val="24"/>
          <w:szCs w:val="24"/>
          <w:color w:val="auto"/>
        </w:rPr>
      </w:pPr>
    </w:p>
    <w:p>
      <w:pPr xmlns:w="http://schemas.openxmlformats.org/wordprocessingml/2006/main">
        <w:ind w:right="60"/>
        <w:spacing w:after="0" w:line="234" w:lineRule="auto"/>
        <w:rPr>
          <w:sz w:val="20"/>
          <w:szCs w:val="20"/>
          <w:color w:val="auto"/>
        </w:rPr>
      </w:pPr>
      <w:r>
        <w:rPr xmlns:w="http://schemas.openxmlformats.org/wordprocessingml/2006/main">
          <w:rFonts w:ascii="Calibri" w:cs="Calibri" w:eastAsia="Calibri" w:hAnsi="Calibri"/>
          <w:sz w:val="22"/>
          <w:szCs w:val="22"/>
          <w:color w:val="auto"/>
        </w:rPr>
        <w:t xml:space="preserve">Een long index futures contract is een overeenkomst om de onderliggende index te kopen tegen een vooraf bepaalde prijs op een bepaalde toekomstige datum.</w:t>
      </w:r>
      <w:r>
        <w:rPr xmlns:w="http://schemas.openxmlformats.org/wordprocessingml/2006/main">
          <w:rFonts w:ascii="Calibri" w:cs="Calibri" w:eastAsia="Calibri" w:hAnsi="Calibri"/>
          <w:sz w:val="22"/>
          <w:szCs w:val="22"/>
          <w:color w:val="auto"/>
        </w:rPr>
        <w:t xml:space="preserve"> Een koper koopt over het algemeen een lange index futures-contract met de verwachting dat de prijs van de onderliggende index zal stijgen tegen de vervaldatum van het contract.</w:t>
      </w:r>
      <w:r>
        <w:rPr xmlns:w="http://schemas.openxmlformats.org/wordprocessingml/2006/main">
          <w:rFonts w:ascii="Calibri" w:cs="Calibri" w:eastAsia="Calibri" w:hAnsi="Calibri"/>
          <w:sz w:val="22"/>
          <w:szCs w:val="22"/>
          <w:color w:val="auto"/>
        </w:rPr>
        <w:t xml:space="preserve"> De koper realiseert een brutowinst als de waarde van de onderliggende index is gestegen door de sluiting van de toekomst en zal een brutoverlies realiseren als deze is gedaald.</w:t>
      </w:r>
      <w:r>
        <w:rPr xmlns:w="http://schemas.openxmlformats.org/wordprocessingml/2006/main">
          <w:rFonts w:ascii="Calibri" w:cs="Calibri" w:eastAsia="Calibri" w:hAnsi="Calibri"/>
          <w:sz w:val="22"/>
          <w:szCs w:val="22"/>
          <w:color w:val="auto"/>
        </w:rPr>
        <w:t xml:space="preserve"> Er is geen aanbevolen bewaarperiode voor indexfutures.</w:t>
      </w:r>
      <w:r>
        <w:rPr xmlns:w="http://schemas.openxmlformats.org/wordprocessingml/2006/main">
          <w:rFonts w:ascii="Calibri" w:cs="Calibri" w:eastAsia="Calibri" w:hAnsi="Calibri"/>
          <w:sz w:val="22"/>
          <w:szCs w:val="22"/>
          <w:color w:val="auto"/>
        </w:rPr>
        <w:t xml:space="preserve"> Kopers en verkopers kunnen winst of verlies ervaren op elk moment tot en met de vervaldatum van de toekomst.</w:t>
      </w:r>
      <w:r>
        <w:rPr xmlns:w="http://schemas.openxmlformats.org/wordprocessingml/2006/main">
          <w:rFonts w:ascii="Calibri" w:cs="Calibri" w:eastAsia="Calibri" w:hAnsi="Calibri"/>
          <w:sz w:val="22"/>
          <w:szCs w:val="22"/>
          <w:color w:val="auto"/>
        </w:rPr>
        <w:t xml:space="preserve"> Terwijl een indexfuture een vooraf bepaalde vervaldatum heeft, kan een open positie worden afgesloten door het aangaan van een verrekenbare transactie voorafgaand aan de looptijd van het contract.</w:t>
      </w:r>
      <w:r>
        <w:rPr xmlns:w="http://schemas.openxmlformats.org/wordprocessingml/2006/main">
          <w:rFonts w:ascii="Calibri" w:cs="Calibri" w:eastAsia="Calibri" w:hAnsi="Calibri"/>
          <w:sz w:val="22"/>
          <w:szCs w:val="22"/>
          <w:color w:val="auto"/>
        </w:rPr>
        <w:t xml:space="preserve"> Indexfuturescontracten die niet vóór de vervaldatum zijn afgesloten, moeten worden afgewikkeld in overeenstemming met de voorwaarden van het contract, dat afwikkeling in contanten vereist.</w:t>
      </w:r>
      <w:r>
        <w:rPr xmlns:w="http://schemas.openxmlformats.org/wordprocessingml/2006/main">
          <w:rFonts w:ascii="Calibri" w:cs="Calibri" w:eastAsia="Calibri" w:hAnsi="Calibri"/>
          <w:sz w:val="22"/>
          <w:szCs w:val="22"/>
          <w:color w:val="auto"/>
        </w:rPr>
        <w:t xml:space="preserve"> Alle posities in het indexfuturescontract die aan het einde van de laatste handelsdag open zijn, worden afgewikkeld via een laatste contante betaling op basis van een definitieve afwikkelingsprijs voor de onderliggende index.</w:t>
      </w:r>
      <w:r>
        <w:rPr xmlns:w="http://schemas.openxmlformats.org/wordprocessingml/2006/main">
          <w:rFonts w:ascii="Calibri" w:cs="Calibri" w:eastAsia="Calibri" w:hAnsi="Calibri"/>
          <w:sz w:val="22"/>
          <w:szCs w:val="22"/>
          <w:color w:val="auto"/>
        </w:rPr>
        <w:t xml:space="preserve"> Factoren die van invloed zijn op de toekomstige waarde van een index zijn onder meer de waarde van de onderliggende index en de gevoeligheid ervan voor prijsschommelingen (volatiliteit).</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438785</wp:posOffset>
                </wp:positionV>
                <wp:extent cx="6903085"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903085"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34.55pt" to="538.2pt,34.55pt" o:allowincell="f" strokecolor="#000000" strokeweight="0.48pt"/>
            </w:pict>
          </mc:Fallback>
        </mc:AlternateContent>
      </w:r>
    </w:p>
    <w:p>
      <w:pPr>
        <w:sectPr>
          <w:pgSz w:w="12240" w:h="15840" w:orient="portrait"/>
          <w:cols w:equalWidth="0" w:num="1">
            <w:col w:w="10660"/>
          </w:cols>
          <w:pgMar w:left="940" w:top="699" w:right="640" w:bottom="1440" w:gutter="0" w:footer="0" w:header="0"/>
        </w:sectPr>
      </w:pPr>
    </w:p>
    <w:bookmarkStart w:id="1" w:name="page2"/>
    <w:bookmarkEnd w:id="1"/>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534670</wp:posOffset>
                </wp:positionH>
                <wp:positionV relativeFrom="page">
                  <wp:posOffset>463550</wp:posOffset>
                </wp:positionV>
                <wp:extent cx="6891655" cy="87757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91655" cy="877570"/>
                        </a:xfrm>
                        <a:prstGeom prst="rect">
                          <a:avLst/>
                        </a:prstGeom>
                        <a:solidFill>
                          <a:srgbClr val="BDD6EE"/>
                        </a:solidFill>
                      </wps:spPr>
                      <wps:bodyPr/>
                    </wps:wsp>
                  </a:graphicData>
                </a:graphic>
              </wp:anchor>
            </w:drawing>
          </mc:Choice>
          <mc:Fallback>
            <w:pict>
              <v:rect xmlns:v="urn:schemas-microsoft-com:vml" id="Shape 13" o:spid="_x0000_s1038" style="position:absolute;margin-left:42.1pt;margin-top:36.5pt;width:542.65pt;height:6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BDD6EE" stroked="f">
                <w10:wrap xmlns:w10="urn:schemas-microsoft-com:office:word" anchorx="page" anchory="page"/>
              </v:rect>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459740</wp:posOffset>
                </wp:positionV>
                <wp:extent cx="6903720" cy="0"/>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4" o:spid="_x0000_s103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6.2pt" to="585.2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618490</wp:posOffset>
                </wp:positionH>
                <wp:positionV relativeFrom="page">
                  <wp:posOffset>7107555</wp:posOffset>
                </wp:positionV>
                <wp:extent cx="6813550" cy="0"/>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13550" cy="4763"/>
                        </a:xfrm>
                        <a:prstGeom prst="line">
                          <a:avLst/>
                        </a:prstGeom>
                        <a:solidFill>
                          <a:srgbClr val="FFFFFF"/>
                        </a:solidFill>
                        <a:ln w="12192">
                          <a:solidFill>
                            <a:srgbClr val="000000"/>
                          </a:solidFill>
                          <a:miter lim="800000"/>
                          <a:headEnd/>
                          <a:tailEnd/>
                        </a:ln>
                      </wps:spPr>
                      <wps:bodyPr/>
                    </wps:wsp>
                  </a:graphicData>
                </a:graphic>
              </wp:anchor>
            </w:drawing>
          </mc:Choice>
          <mc:Fallback>
            <w:pict>
              <v:line xmlns:v="urn:schemas-microsoft-com:vml" id="Shape 15" o:spid="_x0000_s104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7pt,559.65pt" to="585.2pt,559.65pt" o:allowincell="f" strokecolor="#000000" strokeweight="0.96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624840</wp:posOffset>
                </wp:positionH>
                <wp:positionV relativeFrom="page">
                  <wp:posOffset>7101840</wp:posOffset>
                </wp:positionV>
                <wp:extent cx="0" cy="1435100"/>
                <wp:wrapNone/>
                <wp:docPr id="16" name="Shape 1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1435100"/>
                        </a:xfrm>
                        <a:prstGeom prst="line">
                          <a:avLst/>
                        </a:prstGeom>
                        <a:solidFill>
                          <a:srgbClr val="FFFFFF"/>
                        </a:solidFill>
                        <a:ln w="12191">
                          <a:solidFill>
                            <a:srgbClr val="000000"/>
                          </a:solidFill>
                          <a:miter lim="800000"/>
                          <a:headEnd/>
                          <a:tailEnd/>
                        </a:ln>
                      </wps:spPr>
                      <wps:bodyPr/>
                    </wps:wsp>
                  </a:graphicData>
                </a:graphic>
              </wp:anchor>
            </w:drawing>
          </mc:Choice>
          <mc:Fallback>
            <w:pict>
              <v:line xmlns:v="urn:schemas-microsoft-com:vml" id="Shape 16" o:spid="_x0000_s104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9.2pt,559.2pt" to="49.2pt,672.2pt" o:allowincell="f" strokecolor="#000000" strokeweight="0.95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3825240</wp:posOffset>
                </wp:positionH>
                <wp:positionV relativeFrom="page">
                  <wp:posOffset>7101840</wp:posOffset>
                </wp:positionV>
                <wp:extent cx="0" cy="1435100"/>
                <wp:wrapNone/>
                <wp:docPr id="17" name="Shape 1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1435100"/>
                        </a:xfrm>
                        <a:prstGeom prst="line">
                          <a:avLst/>
                        </a:prstGeom>
                        <a:solidFill>
                          <a:srgbClr val="FFFFFF"/>
                        </a:solidFill>
                        <a:ln w="12191">
                          <a:solidFill>
                            <a:srgbClr val="000000"/>
                          </a:solidFill>
                          <a:miter lim="800000"/>
                          <a:headEnd/>
                          <a:tailEnd/>
                        </a:ln>
                      </wps:spPr>
                      <wps:bodyPr/>
                    </wps:wsp>
                  </a:graphicData>
                </a:graphic>
              </wp:anchor>
            </w:drawing>
          </mc:Choice>
          <mc:Fallback>
            <w:pict>
              <v:line xmlns:v="urn:schemas-microsoft-com:vml" id="Shape 17" o:spid="_x0000_s104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01.2pt,559.2pt" to="301.2pt,672.2pt" o:allowincell="f" strokecolor="#000000" strokeweight="0.95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5652135</wp:posOffset>
                </wp:positionH>
                <wp:positionV relativeFrom="page">
                  <wp:posOffset>7979410</wp:posOffset>
                </wp:positionV>
                <wp:extent cx="1779905" cy="0"/>
                <wp:wrapNone/>
                <wp:docPr id="18" name="Shape 1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1779905" cy="4763"/>
                        </a:xfrm>
                        <a:prstGeom prst="line">
                          <a:avLst/>
                        </a:prstGeom>
                        <a:solidFill>
                          <a:srgbClr val="FFFFFF"/>
                        </a:solidFill>
                        <a:ln w="12192">
                          <a:solidFill>
                            <a:srgbClr val="000000"/>
                          </a:solidFill>
                          <a:miter lim="800000"/>
                          <a:headEnd/>
                          <a:tailEnd/>
                        </a:ln>
                      </wps:spPr>
                      <wps:bodyPr/>
                    </wps:wsp>
                  </a:graphicData>
                </a:graphic>
              </wp:anchor>
            </w:drawing>
          </mc:Choice>
          <mc:Fallback>
            <w:pict>
              <v:line xmlns:v="urn:schemas-microsoft-com:vml" id="Shape 18" o:spid="_x0000_s104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45.05pt,628.3pt" to="585.2pt,628.3pt" o:allowincell="f" strokecolor="#000000" strokeweight="0.96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5658485</wp:posOffset>
                </wp:positionH>
                <wp:positionV relativeFrom="page">
                  <wp:posOffset>7101840</wp:posOffset>
                </wp:positionV>
                <wp:extent cx="0" cy="1435100"/>
                <wp:wrapNone/>
                <wp:docPr id="19" name="Shape 1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1435100"/>
                        </a:xfrm>
                        <a:prstGeom prst="line">
                          <a:avLst/>
                        </a:prstGeom>
                        <a:solidFill>
                          <a:srgbClr val="FFFFFF"/>
                        </a:solidFill>
                        <a:ln w="12192">
                          <a:solidFill>
                            <a:srgbClr val="000000"/>
                          </a:solidFill>
                          <a:miter lim="800000"/>
                          <a:headEnd/>
                          <a:tailEnd/>
                        </a:ln>
                      </wps:spPr>
                      <wps:bodyPr/>
                    </wps:wsp>
                  </a:graphicData>
                </a:graphic>
              </wp:anchor>
            </w:drawing>
          </mc:Choice>
          <mc:Fallback>
            <w:pict>
              <v:line xmlns:v="urn:schemas-microsoft-com:vml" id="Shape 19" o:spid="_x0000_s104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45.55pt,559.2pt" to="445.55pt,672.2pt" o:allowincell="f" strokecolor="#000000" strokeweight="0.96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618490</wp:posOffset>
                </wp:positionH>
                <wp:positionV relativeFrom="page">
                  <wp:posOffset>8531225</wp:posOffset>
                </wp:positionV>
                <wp:extent cx="6813550" cy="0"/>
                <wp:wrapNone/>
                <wp:docPr id="20" name="Shape 20"/>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1355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xmlns:v="urn:schemas-microsoft-com:vml" id="Shape 20" o:spid="_x0000_s1045"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7pt,671.75pt" to="585.2pt,671.75pt" o:allowincell="f" strokecolor="#000000" strokeweight="0.95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1343660</wp:posOffset>
                </wp:positionV>
                <wp:extent cx="6903720" cy="0"/>
                <wp:wrapNone/>
                <wp:docPr id="21" name="Shape 2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21" o:spid="_x0000_s1046"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105.8pt" to="585.2pt,105.8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457200</wp:posOffset>
                </wp:positionV>
                <wp:extent cx="0" cy="8939530"/>
                <wp:wrapNone/>
                <wp:docPr id="22" name="Shape 2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3953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2" o:spid="_x0000_s104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6pt" to="41.85pt,739.9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7429500</wp:posOffset>
                </wp:positionH>
                <wp:positionV relativeFrom="page">
                  <wp:posOffset>457200</wp:posOffset>
                </wp:positionV>
                <wp:extent cx="0" cy="8939530"/>
                <wp:wrapNone/>
                <wp:docPr id="23" name="Shape 2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3953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3" o:spid="_x0000_s104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85pt,36pt" to="585pt,739.9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w:t xml:space="preserve">beoogde retailbelegger</w:t>
      </w:r>
    </w:p>
    <w:p>
      <w:pPr>
        <w:spacing w:after="0" w:line="108" w:lineRule="exact"/>
        <w:rPr>
          <w:sz w:val="20"/>
          <w:szCs w:val="20"/>
          <w:color w:val="auto"/>
        </w:rPr>
      </w:pPr>
    </w:p>
    <w:p>
      <w:pPr xmlns:w="http://schemas.openxmlformats.org/wordprocessingml/2006/main">
        <w:jc w:val="both"/>
        <w:ind w:right="100"/>
        <w:spacing w:after="0" w:line="224" w:lineRule="auto"/>
        <w:rPr>
          <w:sz w:val="20"/>
          <w:szCs w:val="20"/>
          <w:color w:val="auto"/>
        </w:rPr>
      </w:pPr>
      <w:r>
        <w:rPr xmlns:w="http://schemas.openxmlformats.org/wordprocessingml/2006/main">
          <w:rFonts w:ascii="Calibri" w:cs="Calibri" w:eastAsia="Calibri" w:hAnsi="Calibri"/>
          <w:sz w:val="22"/>
          <w:szCs w:val="22"/>
          <w:color w:val="auto"/>
        </w:rPr>
        <w:t xml:space="preserve">Dit product is niet ontworpen voor een specifiek type belegger of om een specifieke beleggingsdoelstelling of -strategie te vervullen.</w:t>
      </w:r>
      <w:r>
        <w:rPr xmlns:w="http://schemas.openxmlformats.org/wordprocessingml/2006/main">
          <w:rFonts w:ascii="Calibri" w:cs="Calibri" w:eastAsia="Calibri" w:hAnsi="Calibri"/>
          <w:sz w:val="22"/>
          <w:szCs w:val="22"/>
          <w:color w:val="auto"/>
        </w:rPr>
        <w:t xml:space="preserve"> Indexfutures zijn niet geschikt voor alle beleggers en zijn alleen bedoeld voor beleggers die een grondig inzicht hebben in het product en de potentiële verliezen die ermee gepaard gaan en de bijbehorende beleggingsstrategie kunnen dragen.</w:t>
      </w:r>
      <w:r>
        <w:rPr xmlns:w="http://schemas.openxmlformats.org/wordprocessingml/2006/main">
          <w:rFonts w:ascii="Calibri" w:cs="Calibri" w:eastAsia="Calibri" w:hAnsi="Calibri"/>
          <w:sz w:val="22"/>
          <w:szCs w:val="22"/>
          <w:color w:val="auto"/>
        </w:rPr>
        <w:t xml:space="preserve"> Als u vragen heeft over geschiktheid, kunt u contact opnemen met uw makelaar of beleggingsadviseur.</w:t>
      </w:r>
    </w:p>
    <w:p>
      <w:pPr>
        <w:spacing w:after="0" w:line="12"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Wat zijn de risico’s en wat kan ik ervoor terugkrijgen?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1062990</wp:posOffset>
            </wp:positionH>
            <wp:positionV relativeFrom="paragraph">
              <wp:posOffset>15875</wp:posOffset>
            </wp:positionV>
            <wp:extent cx="4896485" cy="19138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2">
                      <a:clrChange>
                        <a:clrFrom>
                          <a:srgbClr val="000000"/>
                        </a:clrFrom>
                        <a:clrTo>
                          <a:srgbClr val="000000">
                            <a:alpha val="0"/>
                          </a:srgbClr>
                        </a:clrTo>
                      </a:clrChange>
                      <a:extLst>
                        <a:ext uri="{28A0092B-C50C-407E-A947-70E740481C1C}"/>
                      </a:extLst>
                    </a:blip>
                    <a:srcRect/>
                    <a:stretch>
                      <a:fillRect/>
                    </a:stretch>
                  </pic:blipFill>
                  <pic:spPr bwMode="auto">
                    <a:xfrm>
                      <a:off x="0" y="0"/>
                      <a:ext cx="4896485" cy="1913890"/>
                    </a:xfrm>
                    <a:prstGeom prst="rect">
                      <a:avLst/>
                    </a:prstGeom>
                    <a:noFill/>
                  </pic:spPr>
                </pic:pic>
              </a:graphicData>
            </a:graphic>
          </wp:anchor>
        </w:drawing>
        <w:drawing>
          <wp:anchor simplePos="0" relativeHeight="251657728" behindDoc="1" locked="0" layoutInCell="0" allowOverlap="1">
            <wp:simplePos x="0" y="0"/>
            <wp:positionH relativeFrom="column">
              <wp:posOffset>1062990</wp:posOffset>
            </wp:positionH>
            <wp:positionV relativeFrom="paragraph">
              <wp:posOffset>15875</wp:posOffset>
            </wp:positionV>
            <wp:extent cx="4896485" cy="19138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3">
                      <a:clrChange>
                        <a:clrFrom>
                          <a:srgbClr val="FFFFFF"/>
                        </a:clrFrom>
                        <a:clrTo>
                          <a:srgbClr val="FFFFFF">
                            <a:alpha val="0"/>
                          </a:srgbClr>
                        </a:clrTo>
                      </a:clrChange>
                      <a:extLst>
                        <a:ext uri="{28A0092B-C50C-407E-A947-70E740481C1C}"/>
                      </a:extLst>
                    </a:blip>
                    <a:srcRect/>
                    <a:stretch>
                      <a:fillRect/>
                    </a:stretch>
                  </pic:blipFill>
                  <pic:spPr bwMode="auto">
                    <a:xfrm>
                      <a:off x="0" y="0"/>
                      <a:ext cx="4896485" cy="1913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8"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risico-indicator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2" w:lineRule="exact"/>
        <w:rPr>
          <w:sz w:val="20"/>
          <w:szCs w:val="20"/>
          <w:color w:val="auto"/>
        </w:rPr>
      </w:pPr>
    </w:p>
    <w:p>
      <w:pPr xmlns:w="http://schemas.openxmlformats.org/wordprocessingml/2006/main">
        <w:ind w:right="100"/>
        <w:spacing w:after="0" w:line="228" w:lineRule="auto"/>
        <w:rPr>
          <w:sz w:val="20"/>
          <w:szCs w:val="20"/>
          <w:color w:val="auto"/>
        </w:rPr>
      </w:pPr>
      <w:r>
        <w:rPr xmlns:w="http://schemas.openxmlformats.org/wordprocessingml/2006/main">
          <w:rFonts w:ascii="Calibri" w:cs="Calibri" w:eastAsia="Calibri" w:hAnsi="Calibri"/>
          <w:sz w:val="22"/>
          <w:szCs w:val="22"/>
          <w:color w:val="auto"/>
        </w:rPr>
        <w:t xml:space="preserve">De samenvattende risico-indicator is een leidraad voor het risiconiveau van dit product in vergelijking met andere producten.</w:t>
      </w:r>
      <w:r>
        <w:rPr xmlns:w="http://schemas.openxmlformats.org/wordprocessingml/2006/main">
          <w:rFonts w:ascii="Calibri" w:cs="Calibri" w:eastAsia="Calibri" w:hAnsi="Calibri"/>
          <w:sz w:val="22"/>
          <w:szCs w:val="22"/>
          <w:color w:val="auto"/>
        </w:rPr>
        <w:t xml:space="preserve"> Het laat zien hoe waarschijnlijk het is dat het product geld zal verliezen door bewegingen in de markten of omdat we niet in staat zijn om u te betalen.</w:t>
      </w:r>
      <w:r>
        <w:rPr xmlns:w="http://schemas.openxmlformats.org/wordprocessingml/2006/main">
          <w:rFonts w:ascii="Calibri" w:cs="Calibri" w:eastAsia="Calibri" w:hAnsi="Calibri"/>
          <w:sz w:val="22"/>
          <w:szCs w:val="22"/>
          <w:color w:val="auto"/>
        </w:rPr>
        <w:t xml:space="preserve"> We hebben dit product geclassificeerd als 7 van de 7, wat de hoogste risicoklasse is en de potentiële verliezen van toekomstige prestaties op een zeer hoog niveau beoordeelt.</w:t>
      </w:r>
      <w:r>
        <w:rPr xmlns:w="http://schemas.openxmlformats.org/wordprocessingml/2006/main">
          <w:rFonts w:ascii="Calibri" w:cs="Calibri" w:eastAsia="Calibri" w:hAnsi="Calibri"/>
          <w:sz w:val="22"/>
          <w:szCs w:val="22"/>
          <w:color w:val="auto"/>
        </w:rPr>
        <w:t xml:space="preserve"> Dit product bevat geen bescherming tegen toekomstige marktprestaties, zodat u een deel of al uw investering of meer kunt verliezen.</w:t>
      </w:r>
    </w:p>
    <w:p>
      <w:pPr>
        <w:spacing w:after="0" w:line="107" w:lineRule="exact"/>
        <w:rPr>
          <w:sz w:val="20"/>
          <w:szCs w:val="20"/>
          <w:color w:val="auto"/>
        </w:rPr>
      </w:pPr>
    </w:p>
    <w:p>
      <w:pPr xmlns:w="http://schemas.openxmlformats.org/wordprocessingml/2006/main">
        <w:ind w:right="800"/>
        <w:spacing w:after="0" w:line="210" w:lineRule="auto"/>
        <w:rPr>
          <w:sz w:val="20"/>
          <w:szCs w:val="20"/>
          <w:color w:val="auto"/>
        </w:rPr>
      </w:pPr>
      <w:r>
        <w:rPr xmlns:w="http://schemas.openxmlformats.org/wordprocessingml/2006/main">
          <w:rFonts w:ascii="Calibri" w:cs="Calibri" w:eastAsia="Calibri" w:hAnsi="Calibri"/>
          <w:sz w:val="22"/>
          <w:szCs w:val="22"/>
          <w:color w:val="auto"/>
        </w:rPr>
        <w:t xml:space="preserve">Het risico- en beloningsprofiel van een lange-index futurescontract hangt af van de voorwaarden, maar kan de volgende overwegingen omvatten:</w:t>
      </w:r>
    </w:p>
    <w:p>
      <w:pPr>
        <w:spacing w:after="0" w:line="80" w:lineRule="exact"/>
        <w:rPr>
          <w:sz w:val="20"/>
          <w:szCs w:val="20"/>
          <w:color w:val="auto"/>
        </w:rPr>
      </w:pPr>
    </w:p>
    <w:p>
      <w:pPr xmlns:w="http://schemas.openxmlformats.org/wordprocessingml/2006/main">
        <w:ind w:left="220" w:right="60" w:hanging="214"/>
        <w:spacing w:after="0" w:line="205"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Handelsindexfuturescontracten brengen risico's met zich mee en kunnen resulteren in potentieel onbeperkte verliezen die groter zijn dan het bedrag dat als initiële marge wordt gedeponeerd.</w:t>
      </w:r>
    </w:p>
    <w:p>
      <w:pPr>
        <w:spacing w:after="0" w:line="78" w:lineRule="exact"/>
        <w:rPr>
          <w:rFonts w:ascii="Symbol" w:cs="Symbol" w:eastAsia="Symbol" w:hAnsi="Symbol"/>
          <w:sz w:val="22"/>
          <w:szCs w:val="22"/>
          <w:color w:val="auto"/>
        </w:rPr>
      </w:pPr>
    </w:p>
    <w:p>
      <w:pPr xmlns:w="http://schemas.openxmlformats.org/wordprocessingml/2006/main">
        <w:ind w:left="220" w:right="40" w:hanging="214"/>
        <w:spacing w:after="0" w:line="217"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Indexfutures zijn leveraged producten.</w:t>
      </w:r>
      <w:r>
        <w:rPr xmlns:w="http://schemas.openxmlformats.org/wordprocessingml/2006/main">
          <w:rFonts w:ascii="Calibri" w:cs="Calibri" w:eastAsia="Calibri" w:hAnsi="Calibri"/>
          <w:sz w:val="22"/>
          <w:szCs w:val="22"/>
          <w:color w:val="auto"/>
        </w:rPr>
        <w:t xml:space="preserve"> Kleine veranderingen in de prijs van de toekomst kunnen leiden tot grote winsten of verliezen.</w:t>
      </w:r>
      <w:r>
        <w:rPr xmlns:w="http://schemas.openxmlformats.org/wordprocessingml/2006/main">
          <w:rFonts w:ascii="Calibri" w:cs="Calibri" w:eastAsia="Calibri" w:hAnsi="Calibri"/>
          <w:sz w:val="22"/>
          <w:szCs w:val="22"/>
          <w:color w:val="auto"/>
        </w:rPr>
        <w:t xml:space="preserve"> Als bewegingen in de markten voor futures of de onderliggende index de waarde van uw posities verlagen, moet u mogelijk onmiddellijk extra marge storten en kan uw positie met verlies gedwongen worden geliquideerd.</w:t>
      </w:r>
    </w:p>
    <w:p>
      <w:pPr>
        <w:spacing w:after="0" w:line="79" w:lineRule="exact"/>
        <w:rPr>
          <w:rFonts w:ascii="Symbol" w:cs="Symbol" w:eastAsia="Symbol" w:hAnsi="Symbol"/>
          <w:sz w:val="22"/>
          <w:szCs w:val="22"/>
          <w:color w:val="auto"/>
        </w:rPr>
      </w:pPr>
    </w:p>
    <w:p>
      <w:pPr xmlns:w="http://schemas.openxmlformats.org/wordprocessingml/2006/main">
        <w:ind w:left="220" w:right="180" w:hanging="214"/>
        <w:spacing w:after="0" w:line="217"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Als de handel op een beurs onbeschikbaar wordt, kunnen beleggers mogelijk niet in staat zijn om een index futures-positie tijdig te sluiten.</w:t>
      </w:r>
      <w:r>
        <w:rPr xmlns:w="http://schemas.openxmlformats.org/wordprocessingml/2006/main">
          <w:rFonts w:ascii="Calibri" w:cs="Calibri" w:eastAsia="Calibri" w:hAnsi="Calibri"/>
          <w:sz w:val="22"/>
          <w:szCs w:val="22"/>
          <w:color w:val="auto"/>
        </w:rPr>
        <w:t xml:space="preserve"> Er kunnen momenten zijn waarop futuresprijzen geen gebruikelijke of verwachte relaties onderhouden met de prijzen van onderliggende of gerelateerde belangen.</w:t>
      </w:r>
    </w:p>
    <w:p>
      <w:pPr>
        <w:spacing w:after="0" w:line="1" w:lineRule="exact"/>
        <w:rPr>
          <w:rFonts w:ascii="Symbol" w:cs="Symbol" w:eastAsia="Symbol" w:hAnsi="Symbol"/>
          <w:sz w:val="22"/>
          <w:szCs w:val="22"/>
          <w:color w:val="auto"/>
        </w:rPr>
      </w:pPr>
    </w:p>
    <w:p>
      <w:pPr xmlns:w="http://schemas.openxmlformats.org/wordprocessingml/2006/main">
        <w:ind w:left="220" w:hanging="214"/>
        <w:spacing w:after="0"/>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Het belastingrecht in de lidstaat van herkomst van de belegger kan van invloed zijn op het rendement van de belegger.</w:t>
      </w:r>
    </w:p>
    <w:p>
      <w:pPr>
        <w:spacing w:after="0" w:line="86" w:lineRule="exact"/>
        <w:rPr>
          <w:rFonts w:ascii="Symbol" w:cs="Symbol" w:eastAsia="Symbol" w:hAnsi="Symbol"/>
          <w:sz w:val="22"/>
          <w:szCs w:val="22"/>
          <w:color w:val="auto"/>
        </w:rPr>
      </w:pPr>
    </w:p>
    <w:p>
      <w:pPr xmlns:w="http://schemas.openxmlformats.org/wordprocessingml/2006/main">
        <w:ind w:left="220" w:right="140" w:hanging="214"/>
        <w:spacing w:after="0" w:line="214"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b w:val="1"/>
          <w:bCs w:val="1"/>
          <w:color w:val="auto"/>
        </w:rPr>
        <w:t xml:space="preserve">Wees je bewust van het valutarisico.</w:t>
      </w:r>
      <w:r>
        <w:rPr xmlns:w="http://schemas.openxmlformats.org/wordprocessingml/2006/main">
          <w:rFonts w:ascii="Calibri" w:cs="Calibri" w:eastAsia="Calibri" w:hAnsi="Calibri"/>
          <w:sz w:val="22"/>
          <w:szCs w:val="22"/>
          <w:b w:val="1"/>
          <w:bCs w:val="1"/>
          <w:color w:val="auto"/>
        </w:rPr>
        <w:t xml:space="preserve"> Elke contante betaling in verband met de handel of uitoefening van indexfutures zal afrekenen in Amerikaanse dollars, en bijgevolg kunnen de beleggingsresultaten veranderen afhankelijk van valutaschommelingen.</w:t>
      </w:r>
      <w:r>
        <w:rPr xmlns:w="http://schemas.openxmlformats.org/wordprocessingml/2006/main">
          <w:rFonts w:ascii="Calibri" w:cs="Calibri" w:eastAsia="Calibri" w:hAnsi="Calibri"/>
          <w:sz w:val="22"/>
          <w:szCs w:val="22"/>
          <w:b w:val="1"/>
          <w:bCs w:val="1"/>
          <w:color w:val="auto"/>
        </w:rPr>
        <w:t xml:space="preserve"> Dit risico wordt in de bovenstaande indicator niet in aanmerking genomen.</w:t>
      </w:r>
    </w:p>
    <w:p>
      <w:pPr>
        <w:spacing w:after="0" w:line="67" w:lineRule="exact"/>
        <w:rPr>
          <w:sz w:val="20"/>
          <w:szCs w:val="20"/>
          <w:color w:val="auto"/>
        </w:rPr>
      </w:pPr>
    </w:p>
    <w:p>
      <w:pPr xmlns:w="http://schemas.openxmlformats.org/wordprocessingml/2006/main">
        <w:ind w:right="80"/>
        <w:spacing w:after="0" w:line="21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Prestatiescenario's</w:t>
      </w:r>
      <w:r>
        <w:rPr xmlns:w="http://schemas.openxmlformats.org/wordprocessingml/2006/main">
          <w:rFonts w:ascii="Calibri" w:cs="Calibri" w:eastAsia="Calibri" w:hAnsi="Calibri"/>
          <w:sz w:val="22"/>
          <w:szCs w:val="22"/>
          <w:color w:val="auto"/>
        </w:rPr>
        <w:t xml:space="preserve"> (voorbeelden omvatten niet de kosten van commissies, belastingen en andere transactiekosten die van invloed kunnen zijn op de waarde van een transactie en de positie van indexfutures.)</w:t>
      </w:r>
    </w:p>
    <w:p>
      <w:pPr>
        <w:sectPr>
          <w:pgSz w:w="12240" w:h="15840" w:orient="portrait"/>
          <w:cols w:equalWidth="0" w:num="1">
            <w:col w:w="10700"/>
          </w:cols>
          <w:pgMar w:left="940" w:top="707" w:right="600" w:bottom="510" w:gutter="0" w:footer="0" w:header="0"/>
        </w:sectPr>
      </w:pPr>
    </w:p>
    <w:p>
      <w:pPr>
        <w:spacing w:after="0" w:line="96" w:lineRule="exact"/>
        <w:rPr>
          <w:sz w:val="20"/>
          <w:szCs w:val="20"/>
          <w:color w:val="auto"/>
        </w:rPr>
      </w:pPr>
    </w:p>
    <w:tbl>
      <w:tblPr>
        <w:tblLayout w:type="fixed"/>
        <w:tblInd w:w="180" w:type="dxa"/>
        <w:tblCellMar>
          <w:top w:w="0" w:type="dxa"/>
          <w:left w:w="0" w:type="dxa"/>
          <w:bottom w:w="0" w:type="dxa"/>
          <w:right w:w="0" w:type="dxa"/>
        </w:tblCellMar>
      </w:tblPr>
      <w:tr>
        <w:trPr>
          <w:trHeight w:val="195"/>
        </w:trPr>
        <w:tc>
          <w:tcPr>
            <w:tcW w:w="720" w:type="dxa"/>
            <w:vAlign w:val="bottom"/>
            <w:gridSpan w:val="2"/>
            <w:vMerge w:val="restart"/>
          </w:tcPr>
          <w:p>
            <w:pPr xmlns:w="http://schemas.openxmlformats.org/wordprocessingml/2006/main">
              <w:jc w:val="right"/>
              <w:ind w:right="70"/>
              <w:spacing w:after="0"/>
              <w:rPr>
                <w:sz w:val="20"/>
                <w:szCs w:val="20"/>
                <w:color w:val="auto"/>
              </w:rPr>
            </w:pPr>
            <w:r>
              <w:rPr xmlns:w="http://schemas.openxmlformats.org/wordprocessingml/2006/main">
                <w:rFonts w:ascii="Calibri" w:cs="Calibri" w:eastAsia="Calibri" w:hAnsi="Calibri"/>
                <w:sz w:val="18"/>
                <w:szCs w:val="18"/>
                <w:color w:val="595959"/>
              </w:rPr>
              <w:t xml:space="preserve">USD 1.000</w:t>
            </w:r>
          </w:p>
        </w:tc>
        <w:tc>
          <w:tcPr>
            <w:tcW w:w="480" w:type="dxa"/>
            <w:vAlign w:val="bottom"/>
            <w:tcBorders>
              <w:bottom w:val="single" w:sz="8" w:color="D9D9D9"/>
            </w:tcBorders>
          </w:tcPr>
          <w:p>
            <w:pPr>
              <w:spacing w:after="0"/>
              <w:rPr>
                <w:sz w:val="16"/>
                <w:szCs w:val="16"/>
                <w:color w:val="auto"/>
              </w:rPr>
            </w:pPr>
          </w:p>
        </w:tc>
        <w:tc>
          <w:tcPr>
            <w:tcW w:w="2240" w:type="dxa"/>
            <w:vAlign w:val="bottom"/>
            <w:tcBorders>
              <w:bottom w:val="single" w:sz="8" w:color="D9D9D9"/>
            </w:tcBorders>
            <w:gridSpan w:val="4"/>
          </w:tcPr>
          <w:p>
            <w:pPr xmlns:w="http://schemas.openxmlformats.org/wordprocessingml/2006/main">
              <w:ind w:left="340"/>
              <w:spacing w:after="0"/>
              <w:rPr>
                <w:sz w:val="20"/>
                <w:szCs w:val="20"/>
                <w:color w:val="auto"/>
              </w:rPr>
            </w:pPr>
            <w:r>
              <w:rPr xmlns:w="http://schemas.openxmlformats.org/wordprocessingml/2006/main">
                <w:rFonts w:ascii="Calibri" w:cs="Calibri" w:eastAsia="Calibri" w:hAnsi="Calibri"/>
                <w:sz w:val="16"/>
                <w:szCs w:val="16"/>
                <w:color w:val="595959"/>
              </w:rPr>
              <w:t xml:space="preserve">P/L van de positie van de lange futures</w:t>
            </w:r>
          </w:p>
        </w:tc>
        <w:tc>
          <w:tcPr>
            <w:tcW w:w="240" w:type="dxa"/>
            <w:vAlign w:val="bottom"/>
            <w:tcBorders>
              <w:bottom w:val="single" w:sz="8" w:color="D9D9D9"/>
            </w:tcBorders>
          </w:tcPr>
          <w:p>
            <w:pPr>
              <w:spacing w:after="0"/>
              <w:rPr>
                <w:sz w:val="16"/>
                <w:szCs w:val="16"/>
                <w:color w:val="auto"/>
              </w:rPr>
            </w:pPr>
          </w:p>
        </w:tc>
        <w:tc>
          <w:tcPr>
            <w:tcW w:w="480" w:type="dxa"/>
            <w:vAlign w:val="bottom"/>
            <w:tcBorders>
              <w:bottom w:val="single" w:sz="8" w:color="D9D9D9"/>
            </w:tcBorders>
          </w:tcPr>
          <w:p>
            <w:pPr>
              <w:spacing w:after="0"/>
              <w:rPr>
                <w:sz w:val="16"/>
                <w:szCs w:val="16"/>
                <w:color w:val="auto"/>
              </w:rPr>
            </w:pPr>
          </w:p>
        </w:tc>
        <w:tc>
          <w:tcPr>
            <w:tcW w:w="500" w:type="dxa"/>
            <w:vAlign w:val="bottom"/>
            <w:tcBorders>
              <w:bottom w:val="single" w:sz="8" w:color="D9D9D9"/>
            </w:tcBorders>
          </w:tcPr>
          <w:p>
            <w:pPr>
              <w:spacing w:after="0"/>
              <w:rPr>
                <w:sz w:val="16"/>
                <w:szCs w:val="16"/>
                <w:color w:val="auto"/>
              </w:rPr>
            </w:pPr>
          </w:p>
        </w:tc>
        <w:tc>
          <w:tcPr>
            <w:tcW w:w="1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70"/>
        </w:trPr>
        <w:tc>
          <w:tcPr>
            <w:tcW w:w="720" w:type="dxa"/>
            <w:vAlign w:val="bottom"/>
            <w:gridSpan w:val="2"/>
            <w:vMerge w:val="continue"/>
          </w:tcPr>
          <w:p>
            <w:pPr>
              <w:spacing w:after="0"/>
              <w:rPr>
                <w:sz w:val="6"/>
                <w:szCs w:val="6"/>
                <w:color w:val="auto"/>
              </w:rPr>
            </w:pPr>
          </w:p>
        </w:tc>
        <w:tc>
          <w:tcPr>
            <w:tcW w:w="480" w:type="dxa"/>
            <w:vAlign w:val="bottom"/>
            <w:tcBorders>
              <w:left w:val="single" w:sz="8" w:color="BFBFBF"/>
            </w:tcBorders>
          </w:tcPr>
          <w:p>
            <w:pPr>
              <w:spacing w:after="0"/>
              <w:rPr>
                <w:sz w:val="6"/>
                <w:szCs w:val="6"/>
                <w:color w:val="auto"/>
              </w:rPr>
            </w:pPr>
          </w:p>
        </w:tc>
        <w:tc>
          <w:tcPr>
            <w:tcW w:w="520" w:type="dxa"/>
            <w:vAlign w:val="bottom"/>
            <w:tcBorders>
              <w:right w:val="single" w:sz="8" w:color="D9D9D9"/>
            </w:tcBorders>
          </w:tcPr>
          <w:p>
            <w:pPr>
              <w:spacing w:after="0"/>
              <w:rPr>
                <w:sz w:val="6"/>
                <w:szCs w:val="6"/>
                <w:color w:val="auto"/>
              </w:rPr>
            </w:pPr>
          </w:p>
        </w:tc>
        <w:tc>
          <w:tcPr>
            <w:tcW w:w="480" w:type="dxa"/>
            <w:vAlign w:val="bottom"/>
          </w:tcPr>
          <w:p>
            <w:pPr>
              <w:spacing w:after="0"/>
              <w:rPr>
                <w:sz w:val="6"/>
                <w:szCs w:val="6"/>
                <w:color w:val="auto"/>
              </w:rPr>
            </w:pPr>
          </w:p>
        </w:tc>
        <w:tc>
          <w:tcPr>
            <w:tcW w:w="500" w:type="dxa"/>
            <w:vAlign w:val="bottom"/>
            <w:tcBorders>
              <w:right w:val="single" w:sz="8" w:color="D9D9D9"/>
            </w:tcBorders>
          </w:tcPr>
          <w:p>
            <w:pPr>
              <w:spacing w:after="0"/>
              <w:rPr>
                <w:sz w:val="6"/>
                <w:szCs w:val="6"/>
                <w:color w:val="auto"/>
              </w:rPr>
            </w:pPr>
          </w:p>
        </w:tc>
        <w:tc>
          <w:tcPr>
            <w:tcW w:w="740" w:type="dxa"/>
            <w:vAlign w:val="bottom"/>
          </w:tcPr>
          <w:p>
            <w:pPr>
              <w:spacing w:after="0"/>
              <w:rPr>
                <w:sz w:val="6"/>
                <w:szCs w:val="6"/>
                <w:color w:val="auto"/>
              </w:rPr>
            </w:pPr>
          </w:p>
        </w:tc>
        <w:tc>
          <w:tcPr>
            <w:tcW w:w="240" w:type="dxa"/>
            <w:vAlign w:val="bottom"/>
            <w:tcBorders>
              <w:right w:val="single" w:sz="8" w:color="D9D9D9"/>
            </w:tcBorders>
          </w:tcPr>
          <w:p>
            <w:pPr>
              <w:spacing w:after="0"/>
              <w:rPr>
                <w:sz w:val="6"/>
                <w:szCs w:val="6"/>
                <w:color w:val="auto"/>
              </w:rPr>
            </w:pPr>
          </w:p>
        </w:tc>
        <w:tc>
          <w:tcPr>
            <w:tcW w:w="480" w:type="dxa"/>
            <w:vAlign w:val="bottom"/>
          </w:tcPr>
          <w:p>
            <w:pPr>
              <w:spacing w:after="0"/>
              <w:rPr>
                <w:sz w:val="6"/>
                <w:szCs w:val="6"/>
                <w:color w:val="auto"/>
              </w:rPr>
            </w:pPr>
          </w:p>
        </w:tc>
        <w:tc>
          <w:tcPr>
            <w:tcW w:w="500" w:type="dxa"/>
            <w:vAlign w:val="bottom"/>
            <w:tcBorders>
              <w:right w:val="single" w:sz="8" w:color="D9D9D9"/>
            </w:tcBorders>
          </w:tcPr>
          <w:p>
            <w:pPr>
              <w:spacing w:after="0"/>
              <w:rPr>
                <w:sz w:val="6"/>
                <w:szCs w:val="6"/>
                <w:color w:val="auto"/>
              </w:rPr>
            </w:pPr>
          </w:p>
        </w:tc>
        <w:tc>
          <w:tcPr>
            <w:tcW w:w="1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7"/>
        </w:trPr>
        <w:tc>
          <w:tcPr>
            <w:tcW w:w="180" w:type="dxa"/>
            <w:vAlign w:val="bottom"/>
            <w:vMerge w:val="restart"/>
            <w:textDirection w:val="btLr"/>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595959"/>
                <w:w w:val="94"/>
              </w:rPr>
              <w:t xml:space="preserve">P/L</w:t>
            </w:r>
          </w:p>
        </w:tc>
        <w:tc>
          <w:tcPr>
            <w:tcW w:w="540" w:type="dxa"/>
            <w:vAlign w:val="bottom"/>
            <w:vMerge w:val="restart"/>
          </w:tcPr>
          <w:p>
            <w:pPr xmlns:w="http://schemas.openxmlformats.org/wordprocessingml/2006/main">
              <w:jc w:val="right"/>
              <w:ind w:right="70"/>
              <w:spacing w:after="0"/>
              <w:rPr>
                <w:sz w:val="20"/>
                <w:szCs w:val="20"/>
                <w:color w:val="auto"/>
              </w:rPr>
            </w:pPr>
            <w:r>
              <w:rPr xmlns:w="http://schemas.openxmlformats.org/wordprocessingml/2006/main">
                <w:rFonts w:ascii="Calibri" w:cs="Calibri" w:eastAsia="Calibri" w:hAnsi="Calibri"/>
                <w:sz w:val="18"/>
                <w:szCs w:val="18"/>
                <w:color w:val="595959"/>
                <w:w w:val="98"/>
              </w:rPr>
              <w:t xml:space="preserve">$ 500</w:t>
            </w:r>
          </w:p>
        </w:tc>
        <w:tc>
          <w:tcPr>
            <w:tcW w:w="480" w:type="dxa"/>
            <w:vAlign w:val="bottom"/>
            <w:tcBorders>
              <w:left w:val="single" w:sz="8" w:color="BFBFBF"/>
              <w:bottom w:val="single" w:sz="8" w:color="D9D9D9"/>
            </w:tcBorders>
          </w:tcPr>
          <w:p>
            <w:pPr>
              <w:spacing w:after="0"/>
              <w:rPr>
                <w:sz w:val="18"/>
                <w:szCs w:val="18"/>
                <w:color w:val="auto"/>
              </w:rPr>
            </w:pPr>
          </w:p>
        </w:tc>
        <w:tc>
          <w:tcPr>
            <w:tcW w:w="520" w:type="dxa"/>
            <w:vAlign w:val="bottom"/>
            <w:tcBorders>
              <w:bottom w:val="single" w:sz="8" w:color="D9D9D9"/>
              <w:right w:val="single" w:sz="8" w:color="D9D9D9"/>
            </w:tcBorders>
          </w:tcPr>
          <w:p>
            <w:pPr>
              <w:spacing w:after="0"/>
              <w:rPr>
                <w:sz w:val="18"/>
                <w:szCs w:val="18"/>
                <w:color w:val="auto"/>
              </w:rPr>
            </w:pPr>
          </w:p>
        </w:tc>
        <w:tc>
          <w:tcPr>
            <w:tcW w:w="480" w:type="dxa"/>
            <w:vAlign w:val="bottom"/>
            <w:tcBorders>
              <w:bottom w:val="single" w:sz="8" w:color="D9D9D9"/>
            </w:tcBorders>
          </w:tcPr>
          <w:p>
            <w:pPr>
              <w:spacing w:after="0"/>
              <w:rPr>
                <w:sz w:val="18"/>
                <w:szCs w:val="18"/>
                <w:color w:val="auto"/>
              </w:rPr>
            </w:pPr>
          </w:p>
        </w:tc>
        <w:tc>
          <w:tcPr>
            <w:tcW w:w="500" w:type="dxa"/>
            <w:vAlign w:val="bottom"/>
            <w:tcBorders>
              <w:bottom w:val="single" w:sz="8" w:color="D9D9D9"/>
              <w:right w:val="single" w:sz="8" w:color="D9D9D9"/>
            </w:tcBorders>
          </w:tcPr>
          <w:p>
            <w:pPr>
              <w:spacing w:after="0"/>
              <w:rPr>
                <w:sz w:val="18"/>
                <w:szCs w:val="18"/>
                <w:color w:val="auto"/>
              </w:rPr>
            </w:pPr>
          </w:p>
        </w:tc>
        <w:tc>
          <w:tcPr>
            <w:tcW w:w="740" w:type="dxa"/>
            <w:vAlign w:val="bottom"/>
            <w:tcBorders>
              <w:bottom w:val="single" w:sz="8" w:color="D9D9D9"/>
            </w:tcBorders>
          </w:tcPr>
          <w:p>
            <w:pPr>
              <w:spacing w:after="0"/>
              <w:rPr>
                <w:sz w:val="18"/>
                <w:szCs w:val="18"/>
                <w:color w:val="auto"/>
              </w:rPr>
            </w:pPr>
          </w:p>
        </w:tc>
        <w:tc>
          <w:tcPr>
            <w:tcW w:w="240" w:type="dxa"/>
            <w:vAlign w:val="bottom"/>
            <w:tcBorders>
              <w:bottom w:val="single" w:sz="8" w:color="D9D9D9"/>
              <w:right w:val="single" w:sz="8" w:color="D9D9D9"/>
            </w:tcBorders>
          </w:tcPr>
          <w:p>
            <w:pPr>
              <w:spacing w:after="0"/>
              <w:rPr>
                <w:sz w:val="18"/>
                <w:szCs w:val="18"/>
                <w:color w:val="auto"/>
              </w:rPr>
            </w:pPr>
          </w:p>
        </w:tc>
        <w:tc>
          <w:tcPr>
            <w:tcW w:w="480" w:type="dxa"/>
            <w:vAlign w:val="bottom"/>
            <w:tcBorders>
              <w:bottom w:val="single" w:sz="8" w:color="D9D9D9"/>
            </w:tcBorders>
          </w:tcPr>
          <w:p>
            <w:pPr>
              <w:spacing w:after="0"/>
              <w:rPr>
                <w:sz w:val="18"/>
                <w:szCs w:val="18"/>
                <w:color w:val="auto"/>
              </w:rPr>
            </w:pPr>
          </w:p>
        </w:tc>
        <w:tc>
          <w:tcPr>
            <w:tcW w:w="500" w:type="dxa"/>
            <w:vAlign w:val="bottom"/>
            <w:tcBorders>
              <w:bottom w:val="single" w:sz="8" w:color="D9D9D9"/>
              <w:right w:val="single" w:sz="8" w:color="D9D9D9"/>
            </w:tcBorders>
          </w:tcPr>
          <w:p>
            <w:pPr>
              <w:spacing w:after="0"/>
              <w:rPr>
                <w:sz w:val="18"/>
                <w:szCs w:val="18"/>
                <w:color w:val="auto"/>
              </w:rPr>
            </w:pP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70"/>
        </w:trPr>
        <w:tc>
          <w:tcPr>
            <w:tcW w:w="180" w:type="dxa"/>
            <w:vAlign w:val="bottom"/>
            <w:vMerge w:val="continue"/>
          </w:tcPr>
          <w:p>
            <w:pPr>
              <w:spacing w:after="0"/>
              <w:rPr>
                <w:sz w:val="6"/>
                <w:szCs w:val="6"/>
                <w:color w:val="auto"/>
              </w:rPr>
            </w:pPr>
          </w:p>
        </w:tc>
        <w:tc>
          <w:tcPr>
            <w:tcW w:w="540" w:type="dxa"/>
            <w:vAlign w:val="bottom"/>
            <w:vMerge w:val="continue"/>
          </w:tcPr>
          <w:p>
            <w:pPr>
              <w:spacing w:after="0"/>
              <w:rPr>
                <w:sz w:val="6"/>
                <w:szCs w:val="6"/>
                <w:color w:val="auto"/>
              </w:rPr>
            </w:pPr>
          </w:p>
        </w:tc>
        <w:tc>
          <w:tcPr>
            <w:tcW w:w="480" w:type="dxa"/>
            <w:vAlign w:val="bottom"/>
            <w:tcBorders>
              <w:left w:val="single" w:sz="8" w:color="BFBFBF"/>
            </w:tcBorders>
          </w:tcPr>
          <w:p>
            <w:pPr>
              <w:spacing w:after="0"/>
              <w:rPr>
                <w:sz w:val="6"/>
                <w:szCs w:val="6"/>
                <w:color w:val="auto"/>
              </w:rPr>
            </w:pPr>
          </w:p>
        </w:tc>
        <w:tc>
          <w:tcPr>
            <w:tcW w:w="520" w:type="dxa"/>
            <w:vAlign w:val="bottom"/>
            <w:tcBorders>
              <w:right w:val="single" w:sz="8" w:color="D9D9D9"/>
            </w:tcBorders>
          </w:tcPr>
          <w:p>
            <w:pPr>
              <w:spacing w:after="0"/>
              <w:rPr>
                <w:sz w:val="6"/>
                <w:szCs w:val="6"/>
                <w:color w:val="auto"/>
              </w:rPr>
            </w:pPr>
          </w:p>
        </w:tc>
        <w:tc>
          <w:tcPr>
            <w:tcW w:w="480" w:type="dxa"/>
            <w:vAlign w:val="bottom"/>
          </w:tcPr>
          <w:p>
            <w:pPr>
              <w:spacing w:after="0"/>
              <w:rPr>
                <w:sz w:val="6"/>
                <w:szCs w:val="6"/>
                <w:color w:val="auto"/>
              </w:rPr>
            </w:pPr>
          </w:p>
        </w:tc>
        <w:tc>
          <w:tcPr>
            <w:tcW w:w="500" w:type="dxa"/>
            <w:vAlign w:val="bottom"/>
            <w:tcBorders>
              <w:right w:val="single" w:sz="8" w:color="D9D9D9"/>
            </w:tcBorders>
          </w:tcPr>
          <w:p>
            <w:pPr>
              <w:spacing w:after="0"/>
              <w:rPr>
                <w:sz w:val="6"/>
                <w:szCs w:val="6"/>
                <w:color w:val="auto"/>
              </w:rPr>
            </w:pPr>
          </w:p>
        </w:tc>
        <w:tc>
          <w:tcPr>
            <w:tcW w:w="740" w:type="dxa"/>
            <w:vAlign w:val="bottom"/>
          </w:tcPr>
          <w:p>
            <w:pPr>
              <w:spacing w:after="0"/>
              <w:rPr>
                <w:sz w:val="6"/>
                <w:szCs w:val="6"/>
                <w:color w:val="auto"/>
              </w:rPr>
            </w:pPr>
          </w:p>
        </w:tc>
        <w:tc>
          <w:tcPr>
            <w:tcW w:w="240" w:type="dxa"/>
            <w:vAlign w:val="bottom"/>
            <w:tcBorders>
              <w:right w:val="single" w:sz="8" w:color="D9D9D9"/>
            </w:tcBorders>
          </w:tcPr>
          <w:p>
            <w:pPr>
              <w:spacing w:after="0"/>
              <w:rPr>
                <w:sz w:val="6"/>
                <w:szCs w:val="6"/>
                <w:color w:val="auto"/>
              </w:rPr>
            </w:pPr>
          </w:p>
        </w:tc>
        <w:tc>
          <w:tcPr>
            <w:tcW w:w="480" w:type="dxa"/>
            <w:vAlign w:val="bottom"/>
          </w:tcPr>
          <w:p>
            <w:pPr>
              <w:spacing w:after="0"/>
              <w:rPr>
                <w:sz w:val="6"/>
                <w:szCs w:val="6"/>
                <w:color w:val="auto"/>
              </w:rPr>
            </w:pPr>
          </w:p>
        </w:tc>
        <w:tc>
          <w:tcPr>
            <w:tcW w:w="500" w:type="dxa"/>
            <w:vAlign w:val="bottom"/>
            <w:tcBorders>
              <w:right w:val="single" w:sz="8" w:color="D9D9D9"/>
            </w:tcBorders>
          </w:tcPr>
          <w:p>
            <w:pPr>
              <w:spacing w:after="0"/>
              <w:rPr>
                <w:sz w:val="6"/>
                <w:szCs w:val="6"/>
                <w:color w:val="auto"/>
              </w:rPr>
            </w:pPr>
          </w:p>
        </w:tc>
        <w:tc>
          <w:tcPr>
            <w:tcW w:w="1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0"/>
        </w:trPr>
        <w:tc>
          <w:tcPr>
            <w:tcW w:w="180" w:type="dxa"/>
            <w:vAlign w:val="bottom"/>
            <w:vMerge w:val="continue"/>
          </w:tcPr>
          <w:p>
            <w:pPr>
              <w:spacing w:after="0"/>
              <w:rPr>
                <w:sz w:val="19"/>
                <w:szCs w:val="19"/>
                <w:color w:val="auto"/>
              </w:rPr>
            </w:pPr>
          </w:p>
        </w:tc>
        <w:tc>
          <w:tcPr>
            <w:tcW w:w="540" w:type="dxa"/>
            <w:vAlign w:val="bottom"/>
            <w:vMerge w:val="restart"/>
          </w:tcPr>
          <w:p>
            <w:pPr xmlns:w="http://schemas.openxmlformats.org/wordprocessingml/2006/main">
              <w:jc w:val="right"/>
              <w:ind w:right="70"/>
              <w:spacing w:after="0"/>
              <w:rPr>
                <w:sz w:val="20"/>
                <w:szCs w:val="20"/>
                <w:color w:val="auto"/>
              </w:rPr>
            </w:pPr>
            <w:r>
              <w:rPr xmlns:w="http://schemas.openxmlformats.org/wordprocessingml/2006/main">
                <w:rFonts w:ascii="Calibri" w:cs="Calibri" w:eastAsia="Calibri" w:hAnsi="Calibri"/>
                <w:sz w:val="18"/>
                <w:szCs w:val="18"/>
                <w:color w:val="595959"/>
              </w:rPr>
              <w:t xml:space="preserve">$ 0</w:t>
            </w:r>
          </w:p>
        </w:tc>
        <w:tc>
          <w:tcPr>
            <w:tcW w:w="480" w:type="dxa"/>
            <w:vAlign w:val="bottom"/>
            <w:tcBorders>
              <w:left w:val="single" w:sz="8" w:color="BFBFBF"/>
              <w:bottom w:val="single" w:sz="8" w:color="BFBFBF"/>
            </w:tcBorders>
          </w:tcPr>
          <w:p>
            <w:pPr>
              <w:spacing w:after="0"/>
              <w:rPr>
                <w:sz w:val="19"/>
                <w:szCs w:val="19"/>
                <w:color w:val="auto"/>
              </w:rPr>
            </w:pPr>
          </w:p>
        </w:tc>
        <w:tc>
          <w:tcPr>
            <w:tcW w:w="520" w:type="dxa"/>
            <w:vAlign w:val="bottom"/>
            <w:tcBorders>
              <w:bottom w:val="single" w:sz="8" w:color="BFBFBF"/>
              <w:right w:val="single" w:sz="8" w:color="D9D9D9"/>
            </w:tcBorders>
          </w:tcPr>
          <w:p>
            <w:pPr>
              <w:spacing w:after="0"/>
              <w:rPr>
                <w:sz w:val="19"/>
                <w:szCs w:val="19"/>
                <w:color w:val="auto"/>
              </w:rPr>
            </w:pPr>
          </w:p>
        </w:tc>
        <w:tc>
          <w:tcPr>
            <w:tcW w:w="480" w:type="dxa"/>
            <w:vAlign w:val="bottom"/>
            <w:tcBorders>
              <w:bottom w:val="single" w:sz="8" w:color="BFBFBF"/>
            </w:tcBorders>
          </w:tcPr>
          <w:p>
            <w:pPr>
              <w:spacing w:after="0"/>
              <w:rPr>
                <w:sz w:val="19"/>
                <w:szCs w:val="19"/>
                <w:color w:val="auto"/>
              </w:rPr>
            </w:pPr>
          </w:p>
        </w:tc>
        <w:tc>
          <w:tcPr>
            <w:tcW w:w="500" w:type="dxa"/>
            <w:vAlign w:val="bottom"/>
            <w:tcBorders>
              <w:bottom w:val="single" w:sz="8" w:color="BFBFBF"/>
              <w:right w:val="single" w:sz="8" w:color="D9D9D9"/>
            </w:tcBorders>
          </w:tcPr>
          <w:p>
            <w:pPr>
              <w:spacing w:after="0"/>
              <w:rPr>
                <w:sz w:val="19"/>
                <w:szCs w:val="19"/>
                <w:color w:val="auto"/>
              </w:rPr>
            </w:pPr>
          </w:p>
        </w:tc>
        <w:tc>
          <w:tcPr>
            <w:tcW w:w="740" w:type="dxa"/>
            <w:vAlign w:val="bottom"/>
            <w:tcBorders>
              <w:bottom w:val="single" w:sz="8" w:color="BFBFBF"/>
            </w:tcBorders>
          </w:tcPr>
          <w:p>
            <w:pPr>
              <w:spacing w:after="0"/>
              <w:rPr>
                <w:sz w:val="19"/>
                <w:szCs w:val="19"/>
                <w:color w:val="auto"/>
              </w:rPr>
            </w:pPr>
          </w:p>
        </w:tc>
        <w:tc>
          <w:tcPr>
            <w:tcW w:w="240" w:type="dxa"/>
            <w:vAlign w:val="bottom"/>
            <w:tcBorders>
              <w:bottom w:val="single" w:sz="8" w:color="BFBFBF"/>
              <w:right w:val="single" w:sz="8" w:color="D9D9D9"/>
            </w:tcBorders>
          </w:tcPr>
          <w:p>
            <w:pPr>
              <w:spacing w:after="0"/>
              <w:rPr>
                <w:sz w:val="19"/>
                <w:szCs w:val="19"/>
                <w:color w:val="auto"/>
              </w:rPr>
            </w:pPr>
          </w:p>
        </w:tc>
        <w:tc>
          <w:tcPr>
            <w:tcW w:w="480" w:type="dxa"/>
            <w:vAlign w:val="bottom"/>
            <w:tcBorders>
              <w:bottom w:val="single" w:sz="8" w:color="BFBFBF"/>
            </w:tcBorders>
          </w:tcPr>
          <w:p>
            <w:pPr>
              <w:spacing w:after="0"/>
              <w:rPr>
                <w:sz w:val="19"/>
                <w:szCs w:val="19"/>
                <w:color w:val="auto"/>
              </w:rPr>
            </w:pPr>
          </w:p>
        </w:tc>
        <w:tc>
          <w:tcPr>
            <w:tcW w:w="500" w:type="dxa"/>
            <w:vAlign w:val="bottom"/>
            <w:tcBorders>
              <w:bottom w:val="single" w:sz="8" w:color="BFBFBF"/>
              <w:right w:val="single" w:sz="8" w:color="D9D9D9"/>
            </w:tcBorders>
          </w:tcPr>
          <w:p>
            <w:pPr>
              <w:spacing w:after="0"/>
              <w:rPr>
                <w:sz w:val="19"/>
                <w:szCs w:val="19"/>
                <w:color w:val="auto"/>
              </w:rPr>
            </w:pPr>
          </w:p>
        </w:tc>
        <w:tc>
          <w:tcPr>
            <w:tcW w:w="1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68"/>
        </w:trPr>
        <w:tc>
          <w:tcPr>
            <w:tcW w:w="180" w:type="dxa"/>
            <w:vAlign w:val="bottom"/>
          </w:tcPr>
          <w:p>
            <w:pPr>
              <w:spacing w:after="0"/>
              <w:rPr>
                <w:sz w:val="5"/>
                <w:szCs w:val="5"/>
                <w:color w:val="auto"/>
              </w:rPr>
            </w:pPr>
          </w:p>
        </w:tc>
        <w:tc>
          <w:tcPr>
            <w:tcW w:w="540" w:type="dxa"/>
            <w:vAlign w:val="bottom"/>
            <w:vMerge w:val="continue"/>
          </w:tcPr>
          <w:p>
            <w:pPr>
              <w:spacing w:after="0"/>
              <w:rPr>
                <w:sz w:val="5"/>
                <w:szCs w:val="5"/>
                <w:color w:val="auto"/>
              </w:rPr>
            </w:pPr>
          </w:p>
        </w:tc>
        <w:tc>
          <w:tcPr>
            <w:tcW w:w="480" w:type="dxa"/>
            <w:vAlign w:val="bottom"/>
            <w:tcBorders>
              <w:left w:val="single" w:sz="8" w:color="BFBFBF"/>
            </w:tcBorders>
          </w:tcPr>
          <w:p>
            <w:pPr>
              <w:spacing w:after="0"/>
              <w:rPr>
                <w:sz w:val="5"/>
                <w:szCs w:val="5"/>
                <w:color w:val="auto"/>
              </w:rPr>
            </w:pPr>
          </w:p>
        </w:tc>
        <w:tc>
          <w:tcPr>
            <w:tcW w:w="520" w:type="dxa"/>
            <w:vAlign w:val="bottom"/>
            <w:tcBorders>
              <w:right w:val="single" w:sz="8" w:color="D9D9D9"/>
            </w:tcBorders>
          </w:tcPr>
          <w:p>
            <w:pPr>
              <w:spacing w:after="0"/>
              <w:rPr>
                <w:sz w:val="5"/>
                <w:szCs w:val="5"/>
                <w:color w:val="auto"/>
              </w:rPr>
            </w:pPr>
          </w:p>
        </w:tc>
        <w:tc>
          <w:tcPr>
            <w:tcW w:w="480" w:type="dxa"/>
            <w:vAlign w:val="bottom"/>
          </w:tcPr>
          <w:p>
            <w:pPr>
              <w:spacing w:after="0"/>
              <w:rPr>
                <w:sz w:val="5"/>
                <w:szCs w:val="5"/>
                <w:color w:val="auto"/>
              </w:rPr>
            </w:pPr>
          </w:p>
        </w:tc>
        <w:tc>
          <w:tcPr>
            <w:tcW w:w="500" w:type="dxa"/>
            <w:vAlign w:val="bottom"/>
            <w:tcBorders>
              <w:right w:val="single" w:sz="8" w:color="D9D9D9"/>
            </w:tcBorders>
          </w:tcPr>
          <w:p>
            <w:pPr>
              <w:spacing w:after="0"/>
              <w:rPr>
                <w:sz w:val="5"/>
                <w:szCs w:val="5"/>
                <w:color w:val="auto"/>
              </w:rPr>
            </w:pPr>
          </w:p>
        </w:tc>
        <w:tc>
          <w:tcPr>
            <w:tcW w:w="740" w:type="dxa"/>
            <w:vAlign w:val="bottom"/>
          </w:tcPr>
          <w:p>
            <w:pPr>
              <w:spacing w:after="0"/>
              <w:rPr>
                <w:sz w:val="5"/>
                <w:szCs w:val="5"/>
                <w:color w:val="auto"/>
              </w:rPr>
            </w:pPr>
          </w:p>
        </w:tc>
        <w:tc>
          <w:tcPr>
            <w:tcW w:w="240" w:type="dxa"/>
            <w:vAlign w:val="bottom"/>
            <w:tcBorders>
              <w:right w:val="single" w:sz="8" w:color="D9D9D9"/>
            </w:tcBorders>
          </w:tcPr>
          <w:p>
            <w:pPr>
              <w:spacing w:after="0"/>
              <w:rPr>
                <w:sz w:val="5"/>
                <w:szCs w:val="5"/>
                <w:color w:val="auto"/>
              </w:rPr>
            </w:pPr>
          </w:p>
        </w:tc>
        <w:tc>
          <w:tcPr>
            <w:tcW w:w="480" w:type="dxa"/>
            <w:vAlign w:val="bottom"/>
          </w:tcPr>
          <w:p>
            <w:pPr>
              <w:spacing w:after="0"/>
              <w:rPr>
                <w:sz w:val="5"/>
                <w:szCs w:val="5"/>
                <w:color w:val="auto"/>
              </w:rPr>
            </w:pPr>
          </w:p>
        </w:tc>
        <w:tc>
          <w:tcPr>
            <w:tcW w:w="500" w:type="dxa"/>
            <w:vAlign w:val="bottom"/>
            <w:tcBorders>
              <w:right w:val="single" w:sz="8" w:color="D9D9D9"/>
            </w:tcBorders>
          </w:tcPr>
          <w:p>
            <w:pPr>
              <w:spacing w:after="0"/>
              <w:rPr>
                <w:sz w:val="5"/>
                <w:szCs w:val="5"/>
                <w:color w:val="auto"/>
              </w:rPr>
            </w:pPr>
          </w:p>
        </w:tc>
        <w:tc>
          <w:tcPr>
            <w:tcW w:w="1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17"/>
        </w:trPr>
        <w:tc>
          <w:tcPr>
            <w:tcW w:w="720" w:type="dxa"/>
            <w:vAlign w:val="bottom"/>
            <w:gridSpan w:val="2"/>
            <w:vMerge w:val="restart"/>
          </w:tcPr>
          <w:p>
            <w:pPr xmlns:w="http://schemas.openxmlformats.org/wordprocessingml/2006/main">
              <w:jc w:val="right"/>
              <w:ind w:right="70"/>
              <w:spacing w:after="0"/>
              <w:rPr>
                <w:sz w:val="20"/>
                <w:szCs w:val="20"/>
                <w:color w:val="auto"/>
              </w:rPr>
            </w:pPr>
            <w:r>
              <w:rPr xmlns:w="http://schemas.openxmlformats.org/wordprocessingml/2006/main">
                <w:rFonts w:ascii="Calibri" w:cs="Calibri" w:eastAsia="Calibri" w:hAnsi="Calibri"/>
                <w:sz w:val="18"/>
                <w:szCs w:val="18"/>
                <w:color w:val="595959"/>
              </w:rPr>
              <w:t xml:space="preserve">-$ 500</w:t>
            </w:r>
          </w:p>
        </w:tc>
        <w:tc>
          <w:tcPr>
            <w:tcW w:w="480" w:type="dxa"/>
            <w:vAlign w:val="bottom"/>
            <w:tcBorders>
              <w:left w:val="single" w:sz="8" w:color="BFBFBF"/>
              <w:bottom w:val="single" w:sz="8" w:color="D9D9D9"/>
            </w:tcBorders>
          </w:tcPr>
          <w:p>
            <w:pPr>
              <w:spacing w:after="0"/>
              <w:rPr>
                <w:sz w:val="18"/>
                <w:szCs w:val="18"/>
                <w:color w:val="auto"/>
              </w:rPr>
            </w:pPr>
          </w:p>
        </w:tc>
        <w:tc>
          <w:tcPr>
            <w:tcW w:w="520" w:type="dxa"/>
            <w:vAlign w:val="bottom"/>
            <w:tcBorders>
              <w:bottom w:val="single" w:sz="8" w:color="D9D9D9"/>
              <w:right w:val="single" w:sz="8" w:color="D9D9D9"/>
            </w:tcBorders>
          </w:tcPr>
          <w:p>
            <w:pPr>
              <w:spacing w:after="0"/>
              <w:rPr>
                <w:sz w:val="18"/>
                <w:szCs w:val="18"/>
                <w:color w:val="auto"/>
              </w:rPr>
            </w:pPr>
          </w:p>
        </w:tc>
        <w:tc>
          <w:tcPr>
            <w:tcW w:w="480" w:type="dxa"/>
            <w:vAlign w:val="bottom"/>
            <w:tcBorders>
              <w:bottom w:val="single" w:sz="8" w:color="D9D9D9"/>
            </w:tcBorders>
          </w:tcPr>
          <w:p>
            <w:pPr>
              <w:spacing w:after="0"/>
              <w:rPr>
                <w:sz w:val="18"/>
                <w:szCs w:val="18"/>
                <w:color w:val="auto"/>
              </w:rPr>
            </w:pPr>
          </w:p>
        </w:tc>
        <w:tc>
          <w:tcPr>
            <w:tcW w:w="500" w:type="dxa"/>
            <w:vAlign w:val="bottom"/>
            <w:tcBorders>
              <w:bottom w:val="single" w:sz="8" w:color="D9D9D9"/>
              <w:right w:val="single" w:sz="8" w:color="D9D9D9"/>
            </w:tcBorders>
          </w:tcPr>
          <w:p>
            <w:pPr>
              <w:spacing w:after="0"/>
              <w:rPr>
                <w:sz w:val="18"/>
                <w:szCs w:val="18"/>
                <w:color w:val="auto"/>
              </w:rPr>
            </w:pPr>
          </w:p>
        </w:tc>
        <w:tc>
          <w:tcPr>
            <w:tcW w:w="740" w:type="dxa"/>
            <w:vAlign w:val="bottom"/>
            <w:tcBorders>
              <w:bottom w:val="single" w:sz="8" w:color="D9D9D9"/>
            </w:tcBorders>
          </w:tcPr>
          <w:p>
            <w:pPr>
              <w:spacing w:after="0"/>
              <w:rPr>
                <w:sz w:val="18"/>
                <w:szCs w:val="18"/>
                <w:color w:val="auto"/>
              </w:rPr>
            </w:pPr>
          </w:p>
        </w:tc>
        <w:tc>
          <w:tcPr>
            <w:tcW w:w="240" w:type="dxa"/>
            <w:vAlign w:val="bottom"/>
            <w:tcBorders>
              <w:bottom w:val="single" w:sz="8" w:color="D9D9D9"/>
              <w:right w:val="single" w:sz="8" w:color="D9D9D9"/>
            </w:tcBorders>
          </w:tcPr>
          <w:p>
            <w:pPr>
              <w:spacing w:after="0"/>
              <w:rPr>
                <w:sz w:val="18"/>
                <w:szCs w:val="18"/>
                <w:color w:val="auto"/>
              </w:rPr>
            </w:pPr>
          </w:p>
        </w:tc>
        <w:tc>
          <w:tcPr>
            <w:tcW w:w="480" w:type="dxa"/>
            <w:vAlign w:val="bottom"/>
            <w:tcBorders>
              <w:bottom w:val="single" w:sz="8" w:color="D9D9D9"/>
            </w:tcBorders>
          </w:tcPr>
          <w:p>
            <w:pPr>
              <w:spacing w:after="0"/>
              <w:rPr>
                <w:sz w:val="18"/>
                <w:szCs w:val="18"/>
                <w:color w:val="auto"/>
              </w:rPr>
            </w:pPr>
          </w:p>
        </w:tc>
        <w:tc>
          <w:tcPr>
            <w:tcW w:w="500" w:type="dxa"/>
            <w:vAlign w:val="bottom"/>
            <w:tcBorders>
              <w:bottom w:val="single" w:sz="8" w:color="D9D9D9"/>
              <w:right w:val="single" w:sz="8" w:color="D9D9D9"/>
            </w:tcBorders>
          </w:tcPr>
          <w:p>
            <w:pPr>
              <w:spacing w:after="0"/>
              <w:rPr>
                <w:sz w:val="18"/>
                <w:szCs w:val="18"/>
                <w:color w:val="auto"/>
              </w:rPr>
            </w:pP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70"/>
        </w:trPr>
        <w:tc>
          <w:tcPr>
            <w:tcW w:w="720" w:type="dxa"/>
            <w:vAlign w:val="bottom"/>
            <w:gridSpan w:val="2"/>
            <w:vMerge w:val="continue"/>
          </w:tcPr>
          <w:p>
            <w:pPr>
              <w:spacing w:after="0"/>
              <w:rPr>
                <w:sz w:val="6"/>
                <w:szCs w:val="6"/>
                <w:color w:val="auto"/>
              </w:rPr>
            </w:pPr>
          </w:p>
        </w:tc>
        <w:tc>
          <w:tcPr>
            <w:tcW w:w="480" w:type="dxa"/>
            <w:vAlign w:val="bottom"/>
            <w:tcBorders>
              <w:left w:val="single" w:sz="8" w:color="BFBFBF"/>
            </w:tcBorders>
          </w:tcPr>
          <w:p>
            <w:pPr>
              <w:spacing w:after="0"/>
              <w:rPr>
                <w:sz w:val="6"/>
                <w:szCs w:val="6"/>
                <w:color w:val="auto"/>
              </w:rPr>
            </w:pPr>
          </w:p>
        </w:tc>
        <w:tc>
          <w:tcPr>
            <w:tcW w:w="520" w:type="dxa"/>
            <w:vAlign w:val="bottom"/>
            <w:tcBorders>
              <w:right w:val="single" w:sz="8" w:color="D9D9D9"/>
            </w:tcBorders>
          </w:tcPr>
          <w:p>
            <w:pPr>
              <w:spacing w:after="0"/>
              <w:rPr>
                <w:sz w:val="6"/>
                <w:szCs w:val="6"/>
                <w:color w:val="auto"/>
              </w:rPr>
            </w:pPr>
          </w:p>
        </w:tc>
        <w:tc>
          <w:tcPr>
            <w:tcW w:w="480" w:type="dxa"/>
            <w:vAlign w:val="bottom"/>
          </w:tcPr>
          <w:p>
            <w:pPr>
              <w:spacing w:after="0"/>
              <w:rPr>
                <w:sz w:val="6"/>
                <w:szCs w:val="6"/>
                <w:color w:val="auto"/>
              </w:rPr>
            </w:pPr>
          </w:p>
        </w:tc>
        <w:tc>
          <w:tcPr>
            <w:tcW w:w="500" w:type="dxa"/>
            <w:vAlign w:val="bottom"/>
            <w:tcBorders>
              <w:right w:val="single" w:sz="8" w:color="D9D9D9"/>
            </w:tcBorders>
          </w:tcPr>
          <w:p>
            <w:pPr>
              <w:spacing w:after="0"/>
              <w:rPr>
                <w:sz w:val="6"/>
                <w:szCs w:val="6"/>
                <w:color w:val="auto"/>
              </w:rPr>
            </w:pPr>
          </w:p>
        </w:tc>
        <w:tc>
          <w:tcPr>
            <w:tcW w:w="740" w:type="dxa"/>
            <w:vAlign w:val="bottom"/>
          </w:tcPr>
          <w:p>
            <w:pPr>
              <w:spacing w:after="0"/>
              <w:rPr>
                <w:sz w:val="6"/>
                <w:szCs w:val="6"/>
                <w:color w:val="auto"/>
              </w:rPr>
            </w:pPr>
          </w:p>
        </w:tc>
        <w:tc>
          <w:tcPr>
            <w:tcW w:w="240" w:type="dxa"/>
            <w:vAlign w:val="bottom"/>
            <w:tcBorders>
              <w:right w:val="single" w:sz="8" w:color="D9D9D9"/>
            </w:tcBorders>
          </w:tcPr>
          <w:p>
            <w:pPr>
              <w:spacing w:after="0"/>
              <w:rPr>
                <w:sz w:val="6"/>
                <w:szCs w:val="6"/>
                <w:color w:val="auto"/>
              </w:rPr>
            </w:pPr>
          </w:p>
        </w:tc>
        <w:tc>
          <w:tcPr>
            <w:tcW w:w="480" w:type="dxa"/>
            <w:vAlign w:val="bottom"/>
          </w:tcPr>
          <w:p>
            <w:pPr>
              <w:spacing w:after="0"/>
              <w:rPr>
                <w:sz w:val="6"/>
                <w:szCs w:val="6"/>
                <w:color w:val="auto"/>
              </w:rPr>
            </w:pPr>
          </w:p>
        </w:tc>
        <w:tc>
          <w:tcPr>
            <w:tcW w:w="500" w:type="dxa"/>
            <w:vAlign w:val="bottom"/>
            <w:tcBorders>
              <w:right w:val="single" w:sz="8" w:color="D9D9D9"/>
            </w:tcBorders>
          </w:tcPr>
          <w:p>
            <w:pPr>
              <w:spacing w:after="0"/>
              <w:rPr>
                <w:sz w:val="6"/>
                <w:szCs w:val="6"/>
                <w:color w:val="auto"/>
              </w:rPr>
            </w:pPr>
          </w:p>
        </w:tc>
        <w:tc>
          <w:tcPr>
            <w:tcW w:w="1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45"/>
        </w:trPr>
        <w:tc>
          <w:tcPr>
            <w:tcW w:w="720" w:type="dxa"/>
            <w:vAlign w:val="bottom"/>
            <w:gridSpan w:val="2"/>
            <w:vMerge w:val="restart"/>
          </w:tcPr>
          <w:p>
            <w:pPr xmlns:w="http://schemas.openxmlformats.org/wordprocessingml/2006/main">
              <w:jc w:val="right"/>
              <w:ind w:right="70"/>
              <w:spacing w:after="0"/>
              <w:rPr>
                <w:sz w:val="20"/>
                <w:szCs w:val="20"/>
                <w:color w:val="auto"/>
              </w:rPr>
            </w:pPr>
            <w:r>
              <w:rPr xmlns:w="http://schemas.openxmlformats.org/wordprocessingml/2006/main">
                <w:rFonts w:ascii="Calibri" w:cs="Calibri" w:eastAsia="Calibri" w:hAnsi="Calibri"/>
                <w:sz w:val="18"/>
                <w:szCs w:val="18"/>
                <w:color w:val="595959"/>
                <w:w w:val="96"/>
              </w:rPr>
              <w:t xml:space="preserve">-$ 1.000</w:t>
            </w:r>
          </w:p>
        </w:tc>
        <w:tc>
          <w:tcPr>
            <w:tcW w:w="480" w:type="dxa"/>
            <w:vAlign w:val="bottom"/>
            <w:tcBorders>
              <w:left w:val="single" w:sz="8" w:color="BFBFBF"/>
              <w:bottom w:val="single" w:sz="8" w:color="D9D9D9"/>
            </w:tcBorders>
          </w:tcPr>
          <w:p>
            <w:pPr>
              <w:spacing w:after="0"/>
              <w:rPr>
                <w:sz w:val="20"/>
                <w:szCs w:val="20"/>
                <w:color w:val="auto"/>
              </w:rPr>
            </w:pPr>
          </w:p>
        </w:tc>
        <w:tc>
          <w:tcPr>
            <w:tcW w:w="520" w:type="dxa"/>
            <w:vAlign w:val="bottom"/>
            <w:tcBorders>
              <w:bottom w:val="single" w:sz="8" w:color="D9D9D9"/>
              <w:right w:val="single" w:sz="8" w:color="D9D9D9"/>
            </w:tcBorders>
          </w:tcPr>
          <w:p>
            <w:pPr>
              <w:spacing w:after="0"/>
              <w:rPr>
                <w:sz w:val="20"/>
                <w:szCs w:val="20"/>
                <w:color w:val="auto"/>
              </w:rPr>
            </w:pPr>
          </w:p>
        </w:tc>
        <w:tc>
          <w:tcPr>
            <w:tcW w:w="480" w:type="dxa"/>
            <w:vAlign w:val="bottom"/>
            <w:tcBorders>
              <w:bottom w:val="single" w:sz="8" w:color="D9D9D9"/>
            </w:tcBorders>
          </w:tcPr>
          <w:p>
            <w:pPr>
              <w:spacing w:after="0"/>
              <w:rPr>
                <w:sz w:val="20"/>
                <w:szCs w:val="20"/>
                <w:color w:val="auto"/>
              </w:rPr>
            </w:pPr>
          </w:p>
        </w:tc>
        <w:tc>
          <w:tcPr>
            <w:tcW w:w="500" w:type="dxa"/>
            <w:vAlign w:val="bottom"/>
            <w:tcBorders>
              <w:bottom w:val="single" w:sz="8" w:color="D9D9D9"/>
              <w:right w:val="single" w:sz="8" w:color="D9D9D9"/>
            </w:tcBorders>
          </w:tcPr>
          <w:p>
            <w:pPr>
              <w:spacing w:after="0"/>
              <w:rPr>
                <w:sz w:val="20"/>
                <w:szCs w:val="20"/>
                <w:color w:val="auto"/>
              </w:rPr>
            </w:pPr>
          </w:p>
        </w:tc>
        <w:tc>
          <w:tcPr>
            <w:tcW w:w="740" w:type="dxa"/>
            <w:vAlign w:val="bottom"/>
            <w:tcBorders>
              <w:bottom w:val="single" w:sz="8" w:color="D9D9D9"/>
            </w:tcBorders>
          </w:tcPr>
          <w:p>
            <w:pPr>
              <w:spacing w:after="0"/>
              <w:rPr>
                <w:sz w:val="20"/>
                <w:szCs w:val="20"/>
                <w:color w:val="auto"/>
              </w:rPr>
            </w:pPr>
          </w:p>
        </w:tc>
        <w:tc>
          <w:tcPr>
            <w:tcW w:w="240" w:type="dxa"/>
            <w:vAlign w:val="bottom"/>
            <w:tcBorders>
              <w:bottom w:val="single" w:sz="8" w:color="D9D9D9"/>
              <w:right w:val="single" w:sz="8" w:color="D9D9D9"/>
            </w:tcBorders>
          </w:tcPr>
          <w:p>
            <w:pPr>
              <w:spacing w:after="0"/>
              <w:rPr>
                <w:sz w:val="20"/>
                <w:szCs w:val="20"/>
                <w:color w:val="auto"/>
              </w:rPr>
            </w:pPr>
          </w:p>
        </w:tc>
        <w:tc>
          <w:tcPr>
            <w:tcW w:w="480" w:type="dxa"/>
            <w:vAlign w:val="bottom"/>
            <w:tcBorders>
              <w:bottom w:val="single" w:sz="8" w:color="D9D9D9"/>
            </w:tcBorders>
          </w:tcPr>
          <w:p>
            <w:pPr>
              <w:spacing w:after="0"/>
              <w:rPr>
                <w:sz w:val="20"/>
                <w:szCs w:val="20"/>
                <w:color w:val="auto"/>
              </w:rPr>
            </w:pPr>
          </w:p>
        </w:tc>
        <w:tc>
          <w:tcPr>
            <w:tcW w:w="500" w:type="dxa"/>
            <w:vAlign w:val="bottom"/>
            <w:tcBorders>
              <w:bottom w:val="single" w:sz="8" w:color="D9D9D9"/>
              <w:right w:val="single" w:sz="8" w:color="D9D9D9"/>
            </w:tcBorders>
          </w:tcPr>
          <w:p>
            <w:pPr>
              <w:spacing w:after="0"/>
              <w:rPr>
                <w:sz w:val="20"/>
                <w:szCs w:val="20"/>
                <w:color w:val="auto"/>
              </w:rPr>
            </w:pPr>
          </w:p>
        </w:tc>
        <w:tc>
          <w:tcPr>
            <w:tcW w:w="1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50"/>
        </w:trPr>
        <w:tc>
          <w:tcPr>
            <w:tcW w:w="720" w:type="dxa"/>
            <w:vAlign w:val="bottom"/>
            <w:gridSpan w:val="2"/>
            <w:vMerge w:val="continue"/>
          </w:tcPr>
          <w:p>
            <w:pPr>
              <w:spacing w:after="0"/>
              <w:rPr>
                <w:sz w:val="4"/>
                <w:szCs w:val="4"/>
                <w:color w:val="auto"/>
              </w:rPr>
            </w:pPr>
          </w:p>
        </w:tc>
        <w:tc>
          <w:tcPr>
            <w:tcW w:w="480" w:type="dxa"/>
            <w:vAlign w:val="bottom"/>
            <w:tcBorders>
              <w:top w:val="single" w:sz="8" w:color="D9D9D9"/>
            </w:tcBorders>
          </w:tcPr>
          <w:p>
            <w:pPr>
              <w:spacing w:after="0"/>
              <w:rPr>
                <w:sz w:val="4"/>
                <w:szCs w:val="4"/>
                <w:color w:val="auto"/>
              </w:rPr>
            </w:pPr>
          </w:p>
        </w:tc>
        <w:tc>
          <w:tcPr>
            <w:tcW w:w="520" w:type="dxa"/>
            <w:vAlign w:val="bottom"/>
            <w:tcBorders>
              <w:top w:val="single" w:sz="8" w:color="D9D9D9"/>
            </w:tcBorders>
          </w:tcPr>
          <w:p>
            <w:pPr>
              <w:spacing w:after="0"/>
              <w:rPr>
                <w:sz w:val="4"/>
                <w:szCs w:val="4"/>
                <w:color w:val="auto"/>
              </w:rPr>
            </w:pPr>
          </w:p>
        </w:tc>
        <w:tc>
          <w:tcPr>
            <w:tcW w:w="480" w:type="dxa"/>
            <w:vAlign w:val="bottom"/>
            <w:tcBorders>
              <w:top w:val="single" w:sz="8" w:color="D9D9D9"/>
            </w:tcBorders>
          </w:tcPr>
          <w:p>
            <w:pPr>
              <w:spacing w:after="0"/>
              <w:rPr>
                <w:sz w:val="4"/>
                <w:szCs w:val="4"/>
                <w:color w:val="auto"/>
              </w:rPr>
            </w:pPr>
          </w:p>
        </w:tc>
        <w:tc>
          <w:tcPr>
            <w:tcW w:w="500" w:type="dxa"/>
            <w:vAlign w:val="bottom"/>
            <w:tcBorders>
              <w:top w:val="single" w:sz="8" w:color="D9D9D9"/>
            </w:tcBorders>
          </w:tcPr>
          <w:p>
            <w:pPr>
              <w:spacing w:after="0"/>
              <w:rPr>
                <w:sz w:val="4"/>
                <w:szCs w:val="4"/>
                <w:color w:val="auto"/>
              </w:rPr>
            </w:pPr>
          </w:p>
        </w:tc>
        <w:tc>
          <w:tcPr>
            <w:tcW w:w="740" w:type="dxa"/>
            <w:vAlign w:val="bottom"/>
            <w:tcBorders>
              <w:top w:val="single" w:sz="8" w:color="D9D9D9"/>
            </w:tcBorders>
          </w:tcPr>
          <w:p>
            <w:pPr>
              <w:spacing w:after="0"/>
              <w:rPr>
                <w:sz w:val="4"/>
                <w:szCs w:val="4"/>
                <w:color w:val="auto"/>
              </w:rPr>
            </w:pPr>
          </w:p>
        </w:tc>
        <w:tc>
          <w:tcPr>
            <w:tcW w:w="240" w:type="dxa"/>
            <w:vAlign w:val="bottom"/>
            <w:tcBorders>
              <w:top w:val="single" w:sz="8" w:color="D9D9D9"/>
            </w:tcBorders>
          </w:tcPr>
          <w:p>
            <w:pPr>
              <w:spacing w:after="0"/>
              <w:rPr>
                <w:sz w:val="4"/>
                <w:szCs w:val="4"/>
                <w:color w:val="auto"/>
              </w:rPr>
            </w:pPr>
          </w:p>
        </w:tc>
        <w:tc>
          <w:tcPr>
            <w:tcW w:w="480" w:type="dxa"/>
            <w:vAlign w:val="bottom"/>
            <w:tcBorders>
              <w:top w:val="single" w:sz="8" w:color="D9D9D9"/>
            </w:tcBorders>
          </w:tcPr>
          <w:p>
            <w:pPr>
              <w:spacing w:after="0"/>
              <w:rPr>
                <w:sz w:val="4"/>
                <w:szCs w:val="4"/>
                <w:color w:val="auto"/>
              </w:rPr>
            </w:pPr>
          </w:p>
        </w:tc>
        <w:tc>
          <w:tcPr>
            <w:tcW w:w="500" w:type="dxa"/>
            <w:vAlign w:val="bottom"/>
            <w:tcBorders>
              <w:top w:val="single" w:sz="8" w:color="D9D9D9"/>
            </w:tcBorders>
          </w:tcPr>
          <w:p>
            <w:pPr>
              <w:spacing w:after="0"/>
              <w:rPr>
                <w:sz w:val="4"/>
                <w:szCs w:val="4"/>
                <w:color w:val="auto"/>
              </w:rPr>
            </w:pPr>
          </w:p>
        </w:tc>
        <w:tc>
          <w:tcPr>
            <w:tcW w:w="14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233"/>
        </w:trPr>
        <w:tc>
          <w:tcPr>
            <w:tcW w:w="180" w:type="dxa"/>
            <w:vAlign w:val="bottom"/>
          </w:tcPr>
          <w:p>
            <w:pPr>
              <w:spacing w:after="0"/>
              <w:rPr>
                <w:sz w:val="20"/>
                <w:szCs w:val="20"/>
                <w:color w:val="auto"/>
              </w:rPr>
            </w:pPr>
          </w:p>
        </w:tc>
        <w:tc>
          <w:tcPr>
            <w:tcW w:w="1020" w:type="dxa"/>
            <w:vAlign w:val="bottom"/>
            <w:gridSpan w:val="2"/>
          </w:tcPr>
          <w:p>
            <w:pPr xmlns:w="http://schemas.openxmlformats.org/wordprocessingml/2006/main">
              <w:jc w:val="right"/>
              <w:ind w:right="340"/>
              <w:spacing w:after="0"/>
              <w:rPr>
                <w:sz w:val="20"/>
                <w:szCs w:val="20"/>
                <w:color w:val="auto"/>
              </w:rPr>
            </w:pPr>
            <w:r>
              <w:rPr xmlns:w="http://schemas.openxmlformats.org/wordprocessingml/2006/main">
                <w:rFonts w:ascii="Calibri" w:cs="Calibri" w:eastAsia="Calibri" w:hAnsi="Calibri"/>
                <w:sz w:val="18"/>
                <w:szCs w:val="18"/>
                <w:color w:val="595959"/>
              </w:rPr>
              <w:t xml:space="preserve">$ 40</w:t>
            </w:r>
          </w:p>
        </w:tc>
        <w:tc>
          <w:tcPr>
            <w:tcW w:w="1000" w:type="dxa"/>
            <w:vAlign w:val="bottom"/>
            <w:gridSpan w:val="2"/>
          </w:tcPr>
          <w:p>
            <w:pPr xmlns:w="http://schemas.openxmlformats.org/wordprocessingml/2006/main">
              <w:jc w:val="right"/>
              <w:ind w:right="360"/>
              <w:spacing w:after="0"/>
              <w:rPr>
                <w:sz w:val="20"/>
                <w:szCs w:val="20"/>
                <w:color w:val="auto"/>
              </w:rPr>
            </w:pPr>
            <w:r>
              <w:rPr xmlns:w="http://schemas.openxmlformats.org/wordprocessingml/2006/main">
                <w:rFonts w:ascii="Calibri" w:cs="Calibri" w:eastAsia="Calibri" w:hAnsi="Calibri"/>
                <w:sz w:val="18"/>
                <w:szCs w:val="18"/>
                <w:color w:val="595959"/>
              </w:rPr>
              <w:t xml:space="preserve">$ 45</w:t>
            </w:r>
          </w:p>
        </w:tc>
        <w:tc>
          <w:tcPr>
            <w:tcW w:w="1240" w:type="dxa"/>
            <w:vAlign w:val="bottom"/>
            <w:gridSpan w:val="2"/>
          </w:tcPr>
          <w:p>
            <w:pPr xmlns:w="http://schemas.openxmlformats.org/wordprocessingml/2006/main">
              <w:jc w:val="right"/>
              <w:ind w:right="620"/>
              <w:spacing w:after="0"/>
              <w:rPr>
                <w:sz w:val="20"/>
                <w:szCs w:val="20"/>
                <w:color w:val="auto"/>
              </w:rPr>
            </w:pPr>
            <w:r>
              <w:rPr xmlns:w="http://schemas.openxmlformats.org/wordprocessingml/2006/main">
                <w:rFonts w:ascii="Calibri" w:cs="Calibri" w:eastAsia="Calibri" w:hAnsi="Calibri"/>
                <w:sz w:val="18"/>
                <w:szCs w:val="18"/>
                <w:color w:val="595959"/>
              </w:rPr>
              <w:t xml:space="preserve">$ 50</w:t>
            </w:r>
          </w:p>
        </w:tc>
        <w:tc>
          <w:tcPr>
            <w:tcW w:w="720" w:type="dxa"/>
            <w:vAlign w:val="bottom"/>
            <w:gridSpan w:val="2"/>
          </w:tcPr>
          <w:p>
            <w:pPr xmlns:w="http://schemas.openxmlformats.org/wordprocessingml/2006/main">
              <w:jc w:val="right"/>
              <w:ind w:right="360"/>
              <w:spacing w:after="0"/>
              <w:rPr>
                <w:sz w:val="20"/>
                <w:szCs w:val="20"/>
                <w:color w:val="auto"/>
              </w:rPr>
            </w:pPr>
            <w:r>
              <w:rPr xmlns:w="http://schemas.openxmlformats.org/wordprocessingml/2006/main">
                <w:rFonts w:ascii="Calibri" w:cs="Calibri" w:eastAsia="Calibri" w:hAnsi="Calibri"/>
                <w:sz w:val="18"/>
                <w:szCs w:val="18"/>
                <w:color w:val="595959"/>
              </w:rPr>
              <w:t xml:space="preserve">$ 55</w:t>
            </w:r>
          </w:p>
        </w:tc>
        <w:tc>
          <w:tcPr>
            <w:tcW w:w="620" w:type="dxa"/>
            <w:vAlign w:val="bottom"/>
            <w:gridSpan w:val="2"/>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$ 60</w:t>
            </w:r>
          </w:p>
        </w:tc>
        <w:tc>
          <w:tcPr>
            <w:tcW w:w="0" w:type="dxa"/>
            <w:vAlign w:val="bottom"/>
          </w:tcPr>
          <w:p>
            <w:pPr>
              <w:spacing w:after="0"/>
              <w:rPr>
                <w:sz w:val="1"/>
                <w:szCs w:val="1"/>
                <w:color w:val="auto"/>
              </w:rPr>
            </w:pPr>
          </w:p>
        </w:tc>
      </w:tr>
      <w:tr>
        <w:trPr>
          <w:trHeight w:val="190"/>
        </w:trPr>
        <w:tc>
          <w:tcPr>
            <w:tcW w:w="180" w:type="dxa"/>
            <w:vAlign w:val="bottom"/>
          </w:tcPr>
          <w:p>
            <w:pPr>
              <w:spacing w:after="0"/>
              <w:rPr>
                <w:sz w:val="16"/>
                <w:szCs w:val="16"/>
                <w:color w:val="auto"/>
              </w:rPr>
            </w:pPr>
          </w:p>
        </w:tc>
        <w:tc>
          <w:tcPr>
            <w:tcW w:w="540" w:type="dxa"/>
            <w:vAlign w:val="bottom"/>
          </w:tcPr>
          <w:p>
            <w:pPr>
              <w:spacing w:after="0"/>
              <w:rPr>
                <w:sz w:val="16"/>
                <w:szCs w:val="16"/>
                <w:color w:val="auto"/>
              </w:rPr>
            </w:pPr>
          </w:p>
        </w:tc>
        <w:tc>
          <w:tcPr>
            <w:tcW w:w="480" w:type="dxa"/>
            <w:vAlign w:val="bottom"/>
          </w:tcPr>
          <w:p>
            <w:pPr>
              <w:spacing w:after="0"/>
              <w:rPr>
                <w:sz w:val="16"/>
                <w:szCs w:val="16"/>
                <w:color w:val="auto"/>
              </w:rPr>
            </w:pPr>
          </w:p>
        </w:tc>
        <w:tc>
          <w:tcPr>
            <w:tcW w:w="2960" w:type="dxa"/>
            <w:vAlign w:val="bottom"/>
            <w:gridSpan w:val="6"/>
          </w:tcPr>
          <w:p>
            <w:pPr xmlns:w="http://schemas.openxmlformats.org/wordprocessingml/2006/main">
              <w:jc w:val="center"/>
              <w:spacing w:after="0" w:line="190" w:lineRule="exact"/>
              <w:rPr>
                <w:sz w:val="20"/>
                <w:szCs w:val="20"/>
                <w:color w:val="auto"/>
              </w:rPr>
            </w:pPr>
            <w:r>
              <w:rPr xmlns:w="http://schemas.openxmlformats.org/wordprocessingml/2006/main">
                <w:rFonts w:ascii="Calibri" w:cs="Calibri" w:eastAsia="Calibri" w:hAnsi="Calibri"/>
                <w:sz w:val="16"/>
                <w:szCs w:val="16"/>
                <w:color w:val="595959"/>
                <w:w w:val="99"/>
              </w:rPr>
              <w:t xml:space="preserve">Marktprijs van de onderliggende index</w:t>
            </w:r>
          </w:p>
        </w:tc>
        <w:tc>
          <w:tcPr>
            <w:tcW w:w="500" w:type="dxa"/>
            <w:vAlign w:val="bottom"/>
          </w:tcPr>
          <w:p>
            <w:pPr>
              <w:spacing w:after="0"/>
              <w:rPr>
                <w:sz w:val="16"/>
                <w:szCs w:val="16"/>
                <w:color w:val="auto"/>
              </w:rPr>
            </w:pPr>
          </w:p>
        </w:tc>
        <w:tc>
          <w:tcPr>
            <w:tcW w:w="140" w:type="dxa"/>
            <w:vAlign w:val="bottom"/>
          </w:tcPr>
          <w:p>
            <w:pPr>
              <w:spacing w:after="0"/>
              <w:rPr>
                <w:sz w:val="16"/>
                <w:szCs w:val="16"/>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1147445</wp:posOffset>
            </wp:positionH>
            <wp:positionV relativeFrom="paragraph">
              <wp:posOffset>-924560</wp:posOffset>
            </wp:positionV>
            <wp:extent cx="1316990" cy="45847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4">
                      <a:extLst>
                        <a:ext uri="{28A0092B-C50C-407E-A947-70E740481C1C}"/>
                      </a:extLst>
                    </a:blip>
                    <a:srcRect/>
                    <a:stretch>
                      <a:fillRect/>
                    </a:stretch>
                  </pic:blipFill>
                  <pic:spPr bwMode="auto">
                    <a:xfrm>
                      <a:off x="0" y="0"/>
                      <a:ext cx="1316990" cy="458470"/>
                    </a:xfrm>
                    <a:prstGeom prst="rect">
                      <a:avLst/>
                    </a:prstGeom>
                    <a:noFill/>
                  </pic:spPr>
                </pic:pic>
              </a:graphicData>
            </a:graphic>
          </wp:anchor>
        </w:drawing>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P/L gestresst (</w:t>
      </w:r>
      <w:r>
        <w:rPr xmlns:w="http://schemas.openxmlformats.org/wordprocessingml/2006/main">
          <w:rFonts w:ascii="Calibri" w:cs="Calibri" w:eastAsia="Calibri" w:hAnsi="Calibri"/>
          <w:sz w:val="16"/>
          <w:szCs w:val="16"/>
          <w:u w:val="single" w:color="auto"/>
          <w:color w:val="FF0000"/>
        </w:rPr>
        <w:t xml:space="preserve">rood plotpunt</w:t>
      </w:r>
      <w:r>
        <w:rPr xmlns:w="http://schemas.openxmlformats.org/wordprocessingml/2006/main">
          <w:rFonts w:ascii="Calibri" w:cs="Calibri" w:eastAsia="Calibri" w:hAnsi="Calibri"/>
          <w:sz w:val="16"/>
          <w:szCs w:val="16"/>
          <w:u w:val="single" w:color="auto"/>
          <w:color w:val="auto"/>
        </w:rPr>
        <w:t xml:space="preserve">)</w:t>
      </w:r>
    </w:p>
    <w:p>
      <w:pPr>
        <w:spacing w:after="0" w:line="12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Vooraf bepaalde prijs op de vervaldag: $ 50</w:t>
      </w:r>
    </w:p>
    <w:p>
      <w:pPr>
        <w:spacing w:after="0" w:line="119"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Werkelijke marktprijs op vervaldag: $45</w:t>
      </w:r>
    </w:p>
    <w:p>
      <w:pPr>
        <w:spacing w:after="0" w:line="129" w:lineRule="exact"/>
        <w:rPr>
          <w:sz w:val="20"/>
          <w:szCs w:val="20"/>
          <w:color w:val="auto"/>
        </w:rPr>
      </w:pPr>
    </w:p>
    <w:tbl>
      <w:tblPr>
        <w:tblLayout w:type="fixed"/>
        <w:tblInd w:w="140" w:type="dxa"/>
        <w:tblCellMar>
          <w:top w:w="0" w:type="dxa"/>
          <w:left w:w="0" w:type="dxa"/>
          <w:bottom w:w="0" w:type="dxa"/>
          <w:right w:w="0" w:type="dxa"/>
        </w:tblCellMar>
      </w:tblPr>
      <w:tr>
        <w:trPr>
          <w:trHeight w:val="209"/>
        </w:trPr>
        <w:tc>
          <w:tcPr>
            <w:tcW w:w="100" w:type="dxa"/>
            <w:vAlign w:val="bottom"/>
          </w:tcPr>
          <w:p>
            <w:pPr>
              <w:jc w:val="right"/>
              <w:spacing w:after="0"/>
              <w:rPr>
                <w:sz w:val="20"/>
                <w:szCs w:val="20"/>
                <w:color w:val="auto"/>
              </w:rPr>
            </w:pPr>
            <w:r>
              <w:rPr>
                <w:rFonts w:ascii="Symbol" w:cs="Symbol" w:eastAsia="Symbol" w:hAnsi="Symbol"/>
                <w:sz w:val="16"/>
                <w:szCs w:val="16"/>
                <w:color w:val="auto"/>
                <w:w w:val="75"/>
              </w:rPr>
              <w:t>·</w:t>
            </w:r>
          </w:p>
        </w:tc>
        <w:tc>
          <w:tcPr>
            <w:tcW w:w="1860" w:type="dxa"/>
            <w:vAlign w:val="bottom"/>
          </w:tcPr>
          <w:p>
            <w:pPr xmlns:w="http://schemas.openxmlformats.org/wordprocessingml/2006/main">
              <w:ind w:left="40"/>
              <w:spacing w:after="0"/>
              <w:rPr>
                <w:sz w:val="20"/>
                <w:szCs w:val="20"/>
                <w:color w:val="auto"/>
              </w:rPr>
            </w:pPr>
            <w:r>
              <w:rPr xmlns:w="http://schemas.openxmlformats.org/wordprocessingml/2006/main">
                <w:rFonts w:ascii="Calibri" w:cs="Calibri" w:eastAsia="Calibri" w:hAnsi="Calibri"/>
                <w:sz w:val="16"/>
                <w:szCs w:val="16"/>
                <w:color w:val="auto"/>
              </w:rPr>
              <w:t xml:space="preserve">Gunstig voor de verkoper (kort)</w:t>
            </w:r>
          </w:p>
        </w:tc>
        <w:tc>
          <w:tcPr>
            <w:tcW w:w="48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6"/>
                <w:szCs w:val="16"/>
                <w:color w:val="auto"/>
              </w:rPr>
              <w:t xml:space="preserve">+$ 500</w:t>
            </w:r>
          </w:p>
        </w:tc>
      </w:tr>
      <w:tr>
        <w:trPr>
          <w:trHeight w:val="208"/>
        </w:trPr>
        <w:tc>
          <w:tcPr>
            <w:tcW w:w="100" w:type="dxa"/>
            <w:vAlign w:val="bottom"/>
          </w:tcPr>
          <w:p>
            <w:pPr>
              <w:jc w:val="right"/>
              <w:spacing w:after="0"/>
              <w:rPr>
                <w:sz w:val="20"/>
                <w:szCs w:val="20"/>
                <w:color w:val="auto"/>
              </w:rPr>
            </w:pPr>
            <w:r>
              <w:rPr>
                <w:rFonts w:ascii="Symbol" w:cs="Symbol" w:eastAsia="Symbol" w:hAnsi="Symbol"/>
                <w:sz w:val="16"/>
                <w:szCs w:val="16"/>
                <w:color w:val="auto"/>
                <w:w w:val="75"/>
              </w:rPr>
              <w:t>·</w:t>
            </w:r>
          </w:p>
        </w:tc>
        <w:tc>
          <w:tcPr>
            <w:tcW w:w="1860" w:type="dxa"/>
            <w:vAlign w:val="bottom"/>
          </w:tcPr>
          <w:p>
            <w:pPr xmlns:w="http://schemas.openxmlformats.org/wordprocessingml/2006/main">
              <w:ind w:left="40"/>
              <w:spacing w:after="0" w:line="190" w:lineRule="exact"/>
              <w:rPr>
                <w:sz w:val="20"/>
                <w:szCs w:val="20"/>
                <w:color w:val="auto"/>
              </w:rPr>
            </w:pPr>
            <w:r>
              <w:rPr xmlns:w="http://schemas.openxmlformats.org/wordprocessingml/2006/main">
                <w:rFonts w:ascii="Calibri" w:cs="Calibri" w:eastAsia="Calibri" w:hAnsi="Calibri"/>
                <w:sz w:val="16"/>
                <w:szCs w:val="16"/>
                <w:color w:val="auto"/>
                <w:w w:val="99"/>
              </w:rPr>
              <w:t xml:space="preserve">Ongunstig voor de koper (lang)</w:t>
            </w:r>
          </w:p>
        </w:tc>
        <w:tc>
          <w:tcPr>
            <w:tcW w:w="480" w:type="dxa"/>
            <w:vAlign w:val="bottom"/>
          </w:tcPr>
          <w:p>
            <w:pPr xmlns:w="http://schemas.openxmlformats.org/wordprocessingml/2006/main">
              <w:jc w:val="right"/>
              <w:spacing w:after="0" w:line="190" w:lineRule="exact"/>
              <w:rPr>
                <w:sz w:val="20"/>
                <w:szCs w:val="20"/>
                <w:color w:val="auto"/>
              </w:rPr>
            </w:pPr>
            <w:r>
              <w:rPr xmlns:w="http://schemas.openxmlformats.org/wordprocessingml/2006/main">
                <w:rFonts w:ascii="Calibri" w:cs="Calibri" w:eastAsia="Calibri" w:hAnsi="Calibri"/>
                <w:sz w:val="16"/>
                <w:szCs w:val="16"/>
                <w:color w:val="auto"/>
              </w:rPr>
              <w:t xml:space="preserve">-$ 500</w:t>
            </w:r>
          </w:p>
        </w:tc>
      </w:tr>
    </w:tbl>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P/L Matig (</w:t>
      </w:r>
      <w:r>
        <w:rPr xmlns:w="http://schemas.openxmlformats.org/wordprocessingml/2006/main">
          <w:rFonts w:ascii="Calibri" w:cs="Calibri" w:eastAsia="Calibri" w:hAnsi="Calibri"/>
          <w:sz w:val="16"/>
          <w:szCs w:val="16"/>
          <w:u w:val="single" w:color="auto"/>
          <w:color w:val="00B050"/>
        </w:rPr>
        <w:t xml:space="preserve">groen plotpunt</w:t>
      </w:r>
      <w:r>
        <w:rPr xmlns:w="http://schemas.openxmlformats.org/wordprocessingml/2006/main">
          <w:rFonts w:ascii="Calibri" w:cs="Calibri" w:eastAsia="Calibri" w:hAnsi="Calibri"/>
          <w:sz w:val="16"/>
          <w:szCs w:val="16"/>
          <w:u w:val="single" w:color="auto"/>
          <w:color w:val="auto"/>
        </w:rPr>
        <w:t xml:space="preserve">)</w:t>
      </w:r>
    </w:p>
    <w:p>
      <w:pPr>
        <w:spacing w:after="0" w:line="12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Vooraf bepaalde prijs op de vervaldag: $ 50</w:t>
      </w:r>
    </w:p>
    <w:p>
      <w:pPr>
        <w:spacing w:after="0" w:line="119"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Werkelijke marktprijs op vervaldag: $51</w:t>
      </w:r>
    </w:p>
    <w:p>
      <w:pPr>
        <w:spacing w:after="0" w:line="120" w:lineRule="exact"/>
        <w:rPr>
          <w:sz w:val="20"/>
          <w:szCs w:val="20"/>
          <w:color w:val="auto"/>
        </w:rPr>
      </w:pPr>
    </w:p>
    <w:p>
      <w:pPr xmlns:w="http://schemas.openxmlformats.org/wordprocessingml/2006/main">
        <w:ind w:left="280" w:hanging="137"/>
        <w:spacing w:after="0"/>
        <w:tabs>
          <w:tab w:leader="none" w:pos="280" w:val="left"/>
        </w:tabs>
        <w:numPr>
          <w:ilvl w:val="0"/>
          <w:numId w:val="2"/>
        </w:numPr>
        <w:rPr>
          <w:rFonts w:ascii="Symbol" w:cs="Symbol" w:eastAsia="Symbol" w:hAnsi="Symbol"/>
          <w:sz w:val="16"/>
          <w:szCs w:val="16"/>
          <w:color w:val="auto"/>
        </w:rPr>
      </w:pPr>
      <w:r>
        <w:rPr xmlns:w="http://schemas.openxmlformats.org/wordprocessingml/2006/main">
          <w:rFonts w:ascii="Calibri" w:cs="Calibri" w:eastAsia="Calibri" w:hAnsi="Calibri"/>
          <w:sz w:val="16"/>
          <w:szCs w:val="16"/>
          <w:color w:val="auto"/>
        </w:rPr>
        <w:t xml:space="preserve">Ongunstig voor de verkoper (kort) - $ 100</w:t>
      </w:r>
    </w:p>
    <w:p>
      <w:pPr>
        <w:spacing w:after="0" w:line="9" w:lineRule="exact"/>
        <w:rPr>
          <w:sz w:val="20"/>
          <w:szCs w:val="20"/>
          <w:color w:val="auto"/>
        </w:rPr>
      </w:pPr>
    </w:p>
    <w:tbl>
      <w:tblPr>
        <w:tblLayout w:type="fixed"/>
        <w:tblInd w:w="140" w:type="dxa"/>
        <w:tblCellMar>
          <w:top w:w="0" w:type="dxa"/>
          <w:left w:w="0" w:type="dxa"/>
          <w:bottom w:w="0" w:type="dxa"/>
          <w:right w:w="0" w:type="dxa"/>
        </w:tblCellMar>
      </w:tblPr>
      <w:tr>
        <w:trPr>
          <w:trHeight w:val="213"/>
        </w:trPr>
        <w:tc>
          <w:tcPr>
            <w:tcW w:w="1940" w:type="dxa"/>
            <w:vAlign w:val="bottom"/>
          </w:tcPr>
          <w:p>
            <w:pPr xmlns:w="http://schemas.openxmlformats.org/wordprocessingml/2006/main">
              <w:spacing w:after="0"/>
              <w:rPr>
                <w:sz w:val="20"/>
                <w:szCs w:val="20"/>
                <w:color w:val="auto"/>
              </w:rPr>
            </w:pPr>
            <w:r xmlns:w="http://schemas.openxmlformats.org/wordprocessingml/2006/main">
              <w:rPr>
                <w:rFonts w:ascii="Symbol" w:cs="Symbol" w:eastAsia="Symbol" w:hAnsi="Symbol"/>
                <w:sz w:val="16"/>
                <w:szCs w:val="16"/>
                <w:color w:val="auto"/>
              </w:rPr>
              <w:t>·</w:t>
            </w:r>
            <w:r>
              <w:rPr xmlns:w="http://schemas.openxmlformats.org/wordprocessingml/2006/main">
                <w:rFonts w:ascii="Calibri" w:cs="Calibri" w:eastAsia="Calibri" w:hAnsi="Calibri"/>
                <w:sz w:val="16"/>
                <w:szCs w:val="16"/>
                <w:color w:val="auto"/>
              </w:rPr>
              <w:t xml:space="preserve"> Gunstig voor de koper (lang)</w:t>
            </w:r>
          </w:p>
        </w:tc>
        <w:tc>
          <w:tcPr>
            <w:tcW w:w="56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6"/>
                <w:szCs w:val="16"/>
                <w:color w:val="auto"/>
              </w:rPr>
              <w:t xml:space="preserve">+$ 100</w:t>
            </w:r>
          </w:p>
        </w:tc>
      </w:tr>
    </w:tbl>
    <w:p>
      <w:pPr>
        <w:spacing w:after="0" w:line="51" w:lineRule="exact"/>
        <w:rPr>
          <w:sz w:val="20"/>
          <w:szCs w:val="20"/>
          <w:color w:val="auto"/>
        </w:rPr>
      </w:pPr>
    </w:p>
    <w:p>
      <w:pPr xmlns:w="http://schemas.openxmlformats.org/wordprocessingml/2006/main">
        <w:ind w:right="140"/>
        <w:spacing w:after="0" w:line="219" w:lineRule="auto"/>
        <w:rPr>
          <w:sz w:val="20"/>
          <w:szCs w:val="20"/>
          <w:color w:val="auto"/>
        </w:rPr>
      </w:pPr>
      <w:r>
        <w:rPr xmlns:w="http://schemas.openxmlformats.org/wordprocessingml/2006/main">
          <w:rFonts w:ascii="Calibri" w:cs="Calibri" w:eastAsia="Calibri" w:hAnsi="Calibri"/>
          <w:sz w:val="16"/>
          <w:szCs w:val="16"/>
          <w:color w:val="auto"/>
        </w:rPr>
        <w:t xml:space="preserve">Break even point treedt op wanneer de vooraf bepaalde prijs gelijk is aan de werkelijke marktprijs.</w:t>
      </w:r>
    </w:p>
    <w:p>
      <w:pPr>
        <w:spacing w:after="0" w:line="251" w:lineRule="exact"/>
        <w:rPr>
          <w:sz w:val="20"/>
          <w:szCs w:val="20"/>
          <w:color w:val="auto"/>
        </w:rPr>
      </w:pPr>
    </w:p>
    <w:p>
      <w:pPr>
        <w:sectPr>
          <w:pgSz w:w="12240" w:h="15840" w:orient="portrait"/>
          <w:cols w:equalWidth="0" w:num="3">
            <w:col w:w="4960" w:space="240"/>
            <w:col w:w="2560" w:space="320"/>
            <w:col w:w="2620"/>
          </w:cols>
          <w:pgMar w:left="940" w:top="707" w:right="600" w:bottom="510" w:gutter="0" w:footer="0" w:header="0"/>
          <w:type w:val="continuous"/>
        </w:sectPr>
      </w:pPr>
    </w:p>
    <w:p>
      <w:pPr>
        <w:spacing w:after="0" w:line="93" w:lineRule="exact"/>
        <w:rPr>
          <w:sz w:val="20"/>
          <w:szCs w:val="20"/>
          <w:color w:val="auto"/>
        </w:rPr>
      </w:pPr>
    </w:p>
    <w:p>
      <w:pPr xmlns:w="http://schemas.openxmlformats.org/wordprocessingml/2006/main">
        <w:ind w:right="260"/>
        <w:spacing w:after="0" w:line="228" w:lineRule="auto"/>
        <w:rPr>
          <w:sz w:val="20"/>
          <w:szCs w:val="20"/>
          <w:color w:val="auto"/>
        </w:rPr>
      </w:pPr>
      <w:r>
        <w:rPr xmlns:w="http://schemas.openxmlformats.org/wordprocessingml/2006/main">
          <w:rFonts w:ascii="Calibri" w:cs="Calibri" w:eastAsia="Calibri" w:hAnsi="Calibri"/>
          <w:sz w:val="22"/>
          <w:szCs w:val="22"/>
          <w:color w:val="auto"/>
        </w:rPr>
        <w:t xml:space="preserve">De grafiek illustreert hoe uw investering zou kunnen presteren.</w:t>
      </w:r>
      <w:r>
        <w:rPr xmlns:w="http://schemas.openxmlformats.org/wordprocessingml/2006/main">
          <w:rFonts w:ascii="Calibri" w:cs="Calibri" w:eastAsia="Calibri" w:hAnsi="Calibri"/>
          <w:sz w:val="22"/>
          <w:szCs w:val="22"/>
          <w:color w:val="auto"/>
        </w:rPr>
        <w:t xml:space="preserve"> Je kunt het vergelijken met de uitbetalingsgrafieken voor andere derivaten.</w:t>
      </w:r>
      <w:r>
        <w:rPr xmlns:w="http://schemas.openxmlformats.org/wordprocessingml/2006/main">
          <w:rFonts w:ascii="Calibri" w:cs="Calibri" w:eastAsia="Calibri" w:hAnsi="Calibri"/>
          <w:sz w:val="22"/>
          <w:szCs w:val="22"/>
          <w:color w:val="auto"/>
        </w:rPr>
        <w:t xml:space="preserve"> De grafiek presenteert een reeks mogelijke uitkomsten en is geen exacte indicatie van wat u zou kunnen terugkrijgen.</w:t>
      </w:r>
      <w:r>
        <w:rPr xmlns:w="http://schemas.openxmlformats.org/wordprocessingml/2006/main">
          <w:rFonts w:ascii="Calibri" w:cs="Calibri" w:eastAsia="Calibri" w:hAnsi="Calibri"/>
          <w:sz w:val="22"/>
          <w:szCs w:val="22"/>
          <w:color w:val="auto"/>
        </w:rPr>
        <w:t xml:space="preserve"> Investeren in dit product houdt in dat u denkt dat de onderliggende prijs zal stijgen.</w:t>
      </w:r>
      <w:r>
        <w:rPr xmlns:w="http://schemas.openxmlformats.org/wordprocessingml/2006/main">
          <w:rFonts w:ascii="Calibri" w:cs="Calibri" w:eastAsia="Calibri" w:hAnsi="Calibri"/>
          <w:sz w:val="22"/>
          <w:szCs w:val="22"/>
          <w:color w:val="auto"/>
        </w:rPr>
        <w:t xml:space="preserve"> Wat u terugkrijgt, hangt af van hoe de onderliggende waarde zich zal ontwikkelen, wat afhankelijk is van toekomstige marktprestaties die onzeker zijn en niet kunnen worden voorspeld.</w:t>
      </w:r>
      <w:r>
        <w:rPr xmlns:w="http://schemas.openxmlformats.org/wordprocessingml/2006/main">
          <w:rFonts w:ascii="Calibri" w:cs="Calibri" w:eastAsia="Calibri" w:hAnsi="Calibri"/>
          <w:sz w:val="22"/>
          <w:szCs w:val="22"/>
          <w:color w:val="auto"/>
        </w:rPr>
        <w:t xml:space="preserve"> Voor twee waarden van de onderliggende waarde toont de grafiek wat de winst of het verlies van het product zou zijn</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17780</wp:posOffset>
                </wp:positionV>
                <wp:extent cx="6903085" cy="0"/>
                <wp:wrapNone/>
                <wp:docPr id="27" name="Shape 2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90308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7" o:spid="_x0000_s105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1.4pt" to="538.2pt,1.4pt" o:allowincell="f" strokecolor="#000000" strokeweight="0.4799pt"/>
            </w:pict>
          </mc:Fallback>
        </mc:AlternateContent>
      </w:r>
    </w:p>
    <w:p>
      <w:pPr>
        <w:sectPr>
          <w:pgSz w:w="12240" w:h="15840" w:orient="portrait"/>
          <w:cols w:equalWidth="0" w:num="1">
            <w:col w:w="10700"/>
          </w:cols>
          <w:pgMar w:left="940" w:top="707" w:right="600" w:bottom="510" w:gutter="0" w:footer="0" w:header="0"/>
          <w:type w:val="continuous"/>
        </w:sectPr>
      </w:pPr>
    </w:p>
    <w:bookmarkStart w:id="2" w:name="page3"/>
    <w:bookmarkEnd w:id="2"/>
    <w:p>
      <w:pPr xmlns:w="http://schemas.openxmlformats.org/wordprocessingml/2006/main">
        <w:ind w:left="220" w:right="80"/>
        <w:spacing w:after="0" w:line="220" w:lineRule="auto"/>
        <w:rPr>
          <w:sz w:val="20"/>
          <w:szCs w:val="20"/>
          <w:color w:val="auto"/>
        </w:rPr>
      </w:pP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459740</wp:posOffset>
                </wp:positionV>
                <wp:extent cx="6903720" cy="0"/>
                <wp:wrapNone/>
                <wp:docPr id="28" name="Shape 2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8" o:spid="_x0000_s105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6.2pt" to="585.2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1031240</wp:posOffset>
                </wp:positionV>
                <wp:extent cx="6903720" cy="0"/>
                <wp:wrapNone/>
                <wp:docPr id="29" name="Shape 2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9" o:spid="_x0000_s105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81.2pt" to="585.2pt,81.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2401570</wp:posOffset>
                </wp:positionV>
                <wp:extent cx="6903720" cy="0"/>
                <wp:wrapNone/>
                <wp:docPr id="30" name="Shape 30"/>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0" o:spid="_x0000_s1055"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189.1pt" to="585.2pt,189.1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6842760</wp:posOffset>
                </wp:positionV>
                <wp:extent cx="6903720" cy="0"/>
                <wp:wrapNone/>
                <wp:docPr id="31" name="Shape 3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1" o:spid="_x0000_s1056"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538.8pt" to="585.2pt,538.8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7871460</wp:posOffset>
                </wp:positionV>
                <wp:extent cx="6903720" cy="0"/>
                <wp:wrapNone/>
                <wp:docPr id="32" name="Shape 3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2" o:spid="_x0000_s105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619.8pt" to="585.2pt,619.8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457200</wp:posOffset>
                </wp:positionV>
                <wp:extent cx="0" cy="8710930"/>
                <wp:wrapNone/>
                <wp:docPr id="33" name="Shape 3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71093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3" o:spid="_x0000_s105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6pt" to="41.85pt,721.9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7429500</wp:posOffset>
                </wp:positionH>
                <wp:positionV relativeFrom="page">
                  <wp:posOffset>457200</wp:posOffset>
                </wp:positionV>
                <wp:extent cx="0" cy="8710930"/>
                <wp:wrapNone/>
                <wp:docPr id="34" name="Shape 3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71093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4" o:spid="_x0000_s105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85pt,36pt" to="585pt,721.9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w:t xml:space="preserve">zijn.</w:t>
      </w:r>
      <w:r>
        <w:rPr xmlns:w="http://schemas.openxmlformats.org/wordprocessingml/2006/main">
          <w:rFonts w:ascii="Calibri" w:cs="Calibri" w:eastAsia="Calibri" w:hAnsi="Calibri"/>
          <w:sz w:val="22"/>
          <w:szCs w:val="22"/>
          <w:color w:val="auto"/>
        </w:rPr>
        <w:t xml:space="preserve"> De horizontale as toont mogelijke prijzen van de onderliggende waarde en de verticale as toont de winst of het verlies.</w:t>
      </w:r>
      <w:r>
        <w:rPr xmlns:w="http://schemas.openxmlformats.org/wordprocessingml/2006/main">
          <w:rFonts w:ascii="Calibri" w:cs="Calibri" w:eastAsia="Calibri" w:hAnsi="Calibri"/>
          <w:sz w:val="22"/>
          <w:szCs w:val="22"/>
          <w:color w:val="auto"/>
        </w:rPr>
        <w:t xml:space="preserve"> De getoonde cijfers omvatten alle kosten van het product zelf, maar omvatten mogelijk niet alle kosten die u aan uw adviseur of distributeur betaalt en houden geen rekening met uw persoonlijke belastingsituatie, wat ook van invloed kan zijn op hoeveel u terugkrijgt.</w:t>
      </w:r>
    </w:p>
    <w:p>
      <w:pPr>
        <w:spacing w:after="0" w:line="161" w:lineRule="exact"/>
        <w:rPr>
          <w:sz w:val="20"/>
          <w:szCs w:val="20"/>
          <w:color w:val="auto"/>
        </w:rPr>
      </w:pPr>
    </w:p>
    <w:p>
      <w:pPr xmlns:w="http://schemas.openxmlformats.org/wordprocessingml/2006/main">
        <w:ind w:left="220" w:right="20"/>
        <w:spacing w:after="0" w:line="232"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Wat gebeurt er als OCC niet kan betalen?</w:t>
      </w:r>
      <w:r>
        <w:rPr xmlns:w="http://schemas.openxmlformats.org/wordprocessingml/2006/main">
          <w:rFonts w:ascii="Calibri" w:cs="Calibri" w:eastAsia="Calibri" w:hAnsi="Calibri"/>
          <w:sz w:val="22"/>
          <w:szCs w:val="22"/>
          <w:color w:val="auto"/>
        </w:rPr>
        <w:t xml:space="preserve"> De regels van OCC zijn zo ontworpen dat de prestaties op alle indexfutures liggen tussen OCC en een groep makelaarskantoren die clearingleden worden genoemd en die de posities van hun klanten in hun OCC-accounts dragen.</w:t>
      </w:r>
      <w:r>
        <w:rPr xmlns:w="http://schemas.openxmlformats.org/wordprocessingml/2006/main">
          <w:rFonts w:ascii="Calibri" w:cs="Calibri" w:eastAsia="Calibri" w:hAnsi="Calibri"/>
          <w:sz w:val="22"/>
          <w:szCs w:val="22"/>
          <w:color w:val="auto"/>
        </w:rPr>
        <w:t xml:space="preserve"> De clearingleden moeten voldoen aan de financiële vereisten van OCC voor deelname en onderpand bieden voor de posities van hun klanten.</w:t>
      </w:r>
      <w:r>
        <w:rPr xmlns:w="http://schemas.openxmlformats.org/wordprocessingml/2006/main">
          <w:rFonts w:ascii="Calibri" w:cs="Calibri" w:eastAsia="Calibri" w:hAnsi="Calibri"/>
          <w:sz w:val="22"/>
          <w:szCs w:val="22"/>
          <w:color w:val="auto"/>
        </w:rPr>
        <w:t xml:space="preserve"> De makelaarsonderneming van een belegger kan van de belegger verlangen dat hij in verband met de posities gerelateerde zekerheden verstrekt, zoals hieronder beschreven.</w:t>
      </w:r>
      <w:r>
        <w:rPr xmlns:w="http://schemas.openxmlformats.org/wordprocessingml/2006/main">
          <w:rFonts w:ascii="Calibri" w:cs="Calibri" w:eastAsia="Calibri" w:hAnsi="Calibri"/>
          <w:sz w:val="22"/>
          <w:szCs w:val="22"/>
          <w:color w:val="auto"/>
        </w:rPr>
        <w:t xml:space="preserve"> Door middel van een juridisch vernieuwingsproces wordt OCC de koper voor elk verkoperclearinglid en de verkoper voor elk koperclearinglid.</w:t>
      </w:r>
      <w:r>
        <w:rPr xmlns:w="http://schemas.openxmlformats.org/wordprocessingml/2006/main">
          <w:rFonts w:ascii="Calibri" w:cs="Calibri" w:eastAsia="Calibri" w:hAnsi="Calibri"/>
          <w:sz w:val="22"/>
          <w:szCs w:val="22"/>
          <w:color w:val="auto"/>
        </w:rPr>
        <w:t xml:space="preserve"> Dit systeem is bedoeld om het tegenpartijrisico te beheren en de afwikkeling van futures-transacties te vergemakkelijken in het geval dat een clearinglid zijn verplichtingen niet nakomt.</w:t>
      </w:r>
      <w:r>
        <w:rPr xmlns:w="http://schemas.openxmlformats.org/wordprocessingml/2006/main">
          <w:rFonts w:ascii="Calibri" w:cs="Calibri" w:eastAsia="Calibri" w:hAnsi="Calibri"/>
          <w:sz w:val="22"/>
          <w:szCs w:val="22"/>
          <w:color w:val="auto"/>
        </w:rPr>
        <w:t xml:space="preserve"> Er bestaat echter nog steeds een risico dat OCC niet over voldoende financiële middelen beschikt om de verplichtingen af te wikkelen.</w:t>
      </w:r>
    </w:p>
    <w:p>
      <w:pPr>
        <w:spacing w:after="0" w:line="18" w:lineRule="exact"/>
        <w:rPr>
          <w:sz w:val="20"/>
          <w:szCs w:val="20"/>
          <w:color w:val="auto"/>
        </w:rPr>
      </w:pPr>
    </w:p>
    <w:tbl>
      <w:tblPr>
        <w:tblLayout w:type="fixed"/>
        <w:tblInd w:w="220" w:type="dxa"/>
        <w:tblCellMar>
          <w:top w:w="0" w:type="dxa"/>
          <w:left w:w="0" w:type="dxa"/>
          <w:bottom w:w="0" w:type="dxa"/>
          <w:right w:w="0" w:type="dxa"/>
        </w:tblCellMar>
      </w:tblPr>
      <w:tr>
        <w:trPr>
          <w:trHeight w:val="268"/>
        </w:trPr>
        <w:tc>
          <w:tcPr>
            <w:tcW w:w="5440" w:type="dxa"/>
            <w:vAlign w:val="bottom"/>
            <w:tcBorders>
              <w:right w:val="single" w:sz="8" w:color="auto"/>
            </w:tcBorders>
          </w:tcPr>
          <w:p>
            <w:pPr xmlns:w="http://schemas.openxmlformats.org/wordprocessingml/2006/main">
              <w:spacing w:after="0" w:line="244" w:lineRule="exact"/>
              <w:rPr>
                <w:sz w:val="20"/>
                <w:szCs w:val="20"/>
                <w:color w:val="auto"/>
              </w:rPr>
            </w:pPr>
            <w:r>
              <w:rPr xmlns:w="http://schemas.openxmlformats.org/wordprocessingml/2006/main">
                <w:rFonts w:ascii="Calibri" w:cs="Calibri" w:eastAsia="Calibri" w:hAnsi="Calibri"/>
                <w:sz w:val="22"/>
                <w:szCs w:val="22"/>
                <w:b w:val="1"/>
                <w:bCs w:val="1"/>
                <w:color w:val="auto"/>
              </w:rPr>
              <w:t xml:space="preserve">Wat zijn de kosten?</w:t>
            </w:r>
            <w:r>
              <w:rPr xmlns:w="http://schemas.openxmlformats.org/wordprocessingml/2006/main">
                <w:rFonts w:ascii="Calibri" w:cs="Calibri" w:eastAsia="Calibri" w:hAnsi="Calibri"/>
                <w:sz w:val="22"/>
                <w:szCs w:val="22"/>
                <w:color w:val="auto"/>
              </w:rPr>
              <w:t xml:space="preserve"> De persoon die u adviseert of verkoopt</w:t>
            </w:r>
          </w:p>
        </w:tc>
        <w:tc>
          <w:tcPr>
            <w:tcW w:w="100" w:type="dxa"/>
            <w:vAlign w:val="bottom"/>
            <w:tcBorders>
              <w:top w:val="single" w:sz="8" w:color="auto"/>
              <w:bottom w:val="single" w:sz="8" w:color="auto"/>
            </w:tcBorders>
            <w:shd w:val="clear" w:color="auto" w:fill="DADADA"/>
          </w:tcPr>
          <w:p>
            <w:pPr>
              <w:spacing w:after="0"/>
              <w:rPr>
                <w:sz w:val="23"/>
                <w:szCs w:val="23"/>
                <w:color w:val="auto"/>
              </w:rPr>
            </w:pPr>
          </w:p>
        </w:tc>
        <w:tc>
          <w:tcPr>
            <w:tcW w:w="1420" w:type="dxa"/>
            <w:vAlign w:val="bottom"/>
            <w:tcBorders>
              <w:top w:val="single" w:sz="8" w:color="auto"/>
              <w:bottom w:val="single" w:sz="8" w:color="auto"/>
              <w:right w:val="single" w:sz="8" w:color="DADADA"/>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Kosten in de tijd</w:t>
            </w:r>
          </w:p>
        </w:tc>
        <w:tc>
          <w:tcPr>
            <w:tcW w:w="100" w:type="dxa"/>
            <w:vAlign w:val="bottom"/>
            <w:tcBorders>
              <w:top w:val="single" w:sz="8" w:color="auto"/>
              <w:bottom w:val="single" w:sz="8" w:color="auto"/>
            </w:tcBorders>
            <w:shd w:val="clear" w:color="auto" w:fill="DADADA"/>
          </w:tcPr>
          <w:p>
            <w:pPr>
              <w:spacing w:after="0"/>
              <w:rPr>
                <w:sz w:val="23"/>
                <w:szCs w:val="23"/>
                <w:color w:val="auto"/>
              </w:rPr>
            </w:pPr>
          </w:p>
        </w:tc>
        <w:tc>
          <w:tcPr>
            <w:tcW w:w="240" w:type="dxa"/>
            <w:vAlign w:val="bottom"/>
            <w:tcBorders>
              <w:top w:val="single" w:sz="8" w:color="auto"/>
              <w:bottom w:val="single" w:sz="8" w:color="auto"/>
            </w:tcBorders>
            <w:shd w:val="clear" w:color="auto" w:fill="DADADA"/>
          </w:tcPr>
          <w:p>
            <w:pPr>
              <w:spacing w:after="0"/>
              <w:rPr>
                <w:sz w:val="23"/>
                <w:szCs w:val="23"/>
                <w:color w:val="auto"/>
              </w:rPr>
            </w:pPr>
          </w:p>
        </w:tc>
        <w:tc>
          <w:tcPr>
            <w:tcW w:w="460" w:type="dxa"/>
            <w:vAlign w:val="bottom"/>
            <w:tcBorders>
              <w:top w:val="single" w:sz="8" w:color="auto"/>
              <w:bottom w:val="single" w:sz="8" w:color="auto"/>
            </w:tcBorders>
            <w:shd w:val="clear" w:color="auto" w:fill="DADADA"/>
          </w:tcPr>
          <w:p>
            <w:pPr>
              <w:spacing w:after="0"/>
              <w:rPr>
                <w:sz w:val="23"/>
                <w:szCs w:val="23"/>
                <w:color w:val="auto"/>
              </w:rPr>
            </w:pPr>
          </w:p>
        </w:tc>
        <w:tc>
          <w:tcPr>
            <w:tcW w:w="960" w:type="dxa"/>
            <w:vAlign w:val="bottom"/>
            <w:tcBorders>
              <w:top w:val="single" w:sz="8" w:color="auto"/>
              <w:bottom w:val="single" w:sz="8" w:color="auto"/>
            </w:tcBorders>
            <w:shd w:val="clear" w:color="auto" w:fill="DADADA"/>
          </w:tcPr>
          <w:p>
            <w:pPr>
              <w:spacing w:after="0"/>
              <w:rPr>
                <w:sz w:val="23"/>
                <w:szCs w:val="23"/>
                <w:color w:val="auto"/>
              </w:rPr>
            </w:pPr>
          </w:p>
        </w:tc>
        <w:tc>
          <w:tcPr>
            <w:tcW w:w="280" w:type="dxa"/>
            <w:vAlign w:val="bottom"/>
            <w:tcBorders>
              <w:top w:val="single" w:sz="8" w:color="auto"/>
              <w:bottom w:val="single" w:sz="8" w:color="auto"/>
            </w:tcBorders>
            <w:shd w:val="clear" w:color="auto" w:fill="DADADA"/>
          </w:tcPr>
          <w:p>
            <w:pPr>
              <w:spacing w:after="0"/>
              <w:rPr>
                <w:sz w:val="23"/>
                <w:szCs w:val="23"/>
                <w:color w:val="auto"/>
              </w:rPr>
            </w:pPr>
          </w:p>
        </w:tc>
        <w:tc>
          <w:tcPr>
            <w:tcW w:w="120" w:type="dxa"/>
            <w:vAlign w:val="bottom"/>
            <w:tcBorders>
              <w:top w:val="single" w:sz="8" w:color="auto"/>
              <w:bottom w:val="single" w:sz="8" w:color="auto"/>
              <w:right w:val="single" w:sz="8" w:color="auto"/>
            </w:tcBorders>
            <w:shd w:val="clear" w:color="auto" w:fill="DADADA"/>
          </w:tcPr>
          <w:p>
            <w:pPr>
              <w:spacing w:after="0"/>
              <w:rPr>
                <w:sz w:val="23"/>
                <w:szCs w:val="23"/>
                <w:color w:val="auto"/>
              </w:rPr>
            </w:pPr>
          </w:p>
        </w:tc>
        <w:tc>
          <w:tcPr>
            <w:tcW w:w="100" w:type="dxa"/>
            <w:vAlign w:val="bottom"/>
            <w:tcBorders>
              <w:top w:val="single" w:sz="8" w:color="auto"/>
              <w:bottom w:val="single" w:sz="8" w:color="auto"/>
            </w:tcBorders>
            <w:shd w:val="clear" w:color="auto" w:fill="DADADA"/>
          </w:tcPr>
          <w:p>
            <w:pPr>
              <w:spacing w:after="0"/>
              <w:rPr>
                <w:sz w:val="23"/>
                <w:szCs w:val="23"/>
                <w:color w:val="auto"/>
              </w:rPr>
            </w:pPr>
          </w:p>
        </w:tc>
        <w:tc>
          <w:tcPr>
            <w:tcW w:w="1440" w:type="dxa"/>
            <w:vAlign w:val="bottom"/>
            <w:tcBorders>
              <w:top w:val="single" w:sz="8" w:color="auto"/>
              <w:bottom w:val="single" w:sz="8" w:color="auto"/>
              <w:right w:val="single" w:sz="8" w:color="auto"/>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Als u afsluit</w:t>
            </w:r>
          </w:p>
        </w:tc>
        <w:tc>
          <w:tcPr>
            <w:tcW w:w="0" w:type="dxa"/>
            <w:vAlign w:val="bottom"/>
          </w:tcPr>
          <w:p>
            <w:pPr>
              <w:spacing w:after="0"/>
              <w:rPr>
                <w:sz w:val="1"/>
                <w:szCs w:val="1"/>
                <w:color w:val="auto"/>
              </w:rPr>
            </w:pPr>
          </w:p>
        </w:tc>
      </w:tr>
      <w:tr>
        <w:trPr>
          <w:trHeight w:val="251"/>
        </w:trPr>
        <w:tc>
          <w:tcPr>
            <w:tcW w:w="5440" w:type="dxa"/>
            <w:vAlign w:val="bottom"/>
            <w:tcBorders>
              <w:right w:val="single" w:sz="8" w:color="auto"/>
            </w:tcBorders>
          </w:tcPr>
          <w:p>
            <w:pPr xmlns:w="http://schemas.openxmlformats.org/wordprocessingml/2006/main">
              <w:spacing w:after="0" w:line="225" w:lineRule="exact"/>
              <w:rPr>
                <w:sz w:val="20"/>
                <w:szCs w:val="20"/>
                <w:color w:val="auto"/>
              </w:rPr>
            </w:pPr>
            <w:r>
              <w:rPr xmlns:w="http://schemas.openxmlformats.org/wordprocessingml/2006/main">
                <w:rFonts w:ascii="Calibri" w:cs="Calibri" w:eastAsia="Calibri" w:hAnsi="Calibri"/>
                <w:sz w:val="22"/>
                <w:szCs w:val="22"/>
                <w:color w:val="auto"/>
              </w:rPr>
              <w:t xml:space="preserve">Dit product kan u andere kosten in rekening brengen.</w:t>
            </w:r>
            <w:r>
              <w:rPr xmlns:w="http://schemas.openxmlformats.org/wordprocessingml/2006/main">
                <w:rFonts w:ascii="Calibri" w:cs="Calibri" w:eastAsia="Calibri" w:hAnsi="Calibri"/>
                <w:sz w:val="22"/>
                <w:szCs w:val="22"/>
                <w:color w:val="auto"/>
              </w:rPr>
              <w:t xml:space="preserve"> Zo ja, deze persoon</w:t>
            </w:r>
          </w:p>
        </w:tc>
        <w:tc>
          <w:tcPr>
            <w:tcW w:w="100" w:type="dxa"/>
            <w:vAlign w:val="bottom"/>
            <w:tcBorders>
              <w:bottom w:val="single" w:sz="8" w:color="auto"/>
            </w:tcBorders>
          </w:tcPr>
          <w:p>
            <w:pPr>
              <w:spacing w:after="0"/>
              <w:rPr>
                <w:sz w:val="21"/>
                <w:szCs w:val="21"/>
                <w:color w:val="auto"/>
              </w:rPr>
            </w:pPr>
          </w:p>
        </w:tc>
        <w:tc>
          <w:tcPr>
            <w:tcW w:w="1420" w:type="dxa"/>
            <w:vAlign w:val="bottom"/>
            <w:tcBorders>
              <w:bottom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Totale kosten</w:t>
            </w:r>
          </w:p>
        </w:tc>
        <w:tc>
          <w:tcPr>
            <w:tcW w:w="10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6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144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Diverse</w:t>
            </w:r>
          </w:p>
        </w:tc>
        <w:tc>
          <w:tcPr>
            <w:tcW w:w="0" w:type="dxa"/>
            <w:vAlign w:val="bottom"/>
          </w:tcPr>
          <w:p>
            <w:pPr>
              <w:spacing w:after="0"/>
              <w:rPr>
                <w:sz w:val="1"/>
                <w:szCs w:val="1"/>
                <w:color w:val="auto"/>
              </w:rPr>
            </w:pPr>
          </w:p>
        </w:tc>
      </w:tr>
      <w:tr>
        <w:trPr>
          <w:trHeight w:val="242"/>
        </w:trPr>
        <w:tc>
          <w:tcPr>
            <w:tcW w:w="5440" w:type="dxa"/>
            <w:vAlign w:val="bottom"/>
            <w:tcBorders>
              <w:right w:val="single" w:sz="8" w:color="auto"/>
            </w:tcBorders>
          </w:tcPr>
          <w:p>
            <w:pPr xmlns:w="http://schemas.openxmlformats.org/wordprocessingml/2006/main">
              <w:spacing w:after="0" w:line="223" w:lineRule="exact"/>
              <w:rPr>
                <w:sz w:val="20"/>
                <w:szCs w:val="20"/>
                <w:color w:val="auto"/>
              </w:rPr>
            </w:pPr>
            <w:r>
              <w:rPr xmlns:w="http://schemas.openxmlformats.org/wordprocessingml/2006/main">
                <w:rFonts w:ascii="Calibri" w:cs="Calibri" w:eastAsia="Calibri" w:hAnsi="Calibri"/>
                <w:sz w:val="22"/>
                <w:szCs w:val="22"/>
                <w:color w:val="auto"/>
              </w:rPr>
              <w:t xml:space="preserve">zal u informatie verstrekken over deze kosten en</w:t>
            </w:r>
          </w:p>
        </w:tc>
        <w:tc>
          <w:tcPr>
            <w:tcW w:w="100" w:type="dxa"/>
            <w:vAlign w:val="bottom"/>
            <w:tcBorders>
              <w:bottom w:val="single" w:sz="8" w:color="auto"/>
            </w:tcBorders>
          </w:tcPr>
          <w:p>
            <w:pPr>
              <w:spacing w:after="0"/>
              <w:rPr>
                <w:sz w:val="21"/>
                <w:szCs w:val="21"/>
                <w:color w:val="auto"/>
              </w:rPr>
            </w:pPr>
          </w:p>
        </w:tc>
        <w:tc>
          <w:tcPr>
            <w:tcW w:w="1420" w:type="dxa"/>
            <w:vAlign w:val="bottom"/>
            <w:tcBorders>
              <w:bottom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w w:val="96"/>
              </w:rPr>
              <w:t xml:space="preserve">jaarlijkse kostenimpact</w:t>
            </w:r>
          </w:p>
        </w:tc>
        <w:tc>
          <w:tcPr>
            <w:tcW w:w="10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6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144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Diverse</w:t>
            </w:r>
          </w:p>
        </w:tc>
        <w:tc>
          <w:tcPr>
            <w:tcW w:w="0" w:type="dxa"/>
            <w:vAlign w:val="bottom"/>
          </w:tcPr>
          <w:p>
            <w:pPr>
              <w:spacing w:after="0"/>
              <w:rPr>
                <w:sz w:val="1"/>
                <w:szCs w:val="1"/>
                <w:color w:val="auto"/>
              </w:rPr>
            </w:pPr>
          </w:p>
        </w:tc>
      </w:tr>
      <w:tr>
        <w:trPr>
          <w:trHeight w:val="239"/>
        </w:trPr>
        <w:tc>
          <w:tcPr>
            <w:tcW w:w="5440" w:type="dxa"/>
            <w:vAlign w:val="bottom"/>
          </w:tcPr>
          <w:p>
            <w:pPr xmlns:w="http://schemas.openxmlformats.org/wordprocessingml/2006/main">
              <w:spacing w:after="0" w:line="230" w:lineRule="exact"/>
              <w:rPr>
                <w:sz w:val="20"/>
                <w:szCs w:val="20"/>
                <w:color w:val="auto"/>
              </w:rPr>
            </w:pPr>
            <w:r>
              <w:rPr xmlns:w="http://schemas.openxmlformats.org/wordprocessingml/2006/main">
                <w:rFonts w:ascii="Calibri" w:cs="Calibri" w:eastAsia="Calibri" w:hAnsi="Calibri"/>
                <w:sz w:val="22"/>
                <w:szCs w:val="22"/>
                <w:color w:val="auto"/>
              </w:rPr>
              <w:t xml:space="preserve">hoe ze uw investering beïnvloeden.</w:t>
            </w:r>
            <w:r>
              <w:rPr xmlns:w="http://schemas.openxmlformats.org/wordprocessingml/2006/main">
                <w:rFonts w:ascii="Calibri" w:cs="Calibri" w:eastAsia="Calibri" w:hAnsi="Calibri"/>
                <w:sz w:val="22"/>
                <w:szCs w:val="22"/>
                <w:color w:val="auto"/>
              </w:rPr>
              <w:t xml:space="preserve"> Totale kosten voor</w:t>
            </w:r>
          </w:p>
        </w:tc>
        <w:tc>
          <w:tcPr>
            <w:tcW w:w="100" w:type="dxa"/>
            <w:vAlign w:val="bottom"/>
          </w:tcPr>
          <w:p>
            <w:pPr>
              <w:spacing w:after="0"/>
              <w:rPr>
                <w:sz w:val="20"/>
                <w:szCs w:val="20"/>
                <w:color w:val="auto"/>
              </w:rPr>
            </w:pPr>
          </w:p>
        </w:tc>
        <w:tc>
          <w:tcPr>
            <w:tcW w:w="14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96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49"/>
        </w:trPr>
        <w:tc>
          <w:tcPr>
            <w:tcW w:w="5440" w:type="dxa"/>
            <w:vAlign w:val="bottom"/>
            <w:tcBorders>
              <w:right w:val="single" w:sz="8" w:color="auto"/>
            </w:tcBorders>
          </w:tcPr>
          <w:p>
            <w:pPr xmlns:w="http://schemas.openxmlformats.org/wordprocessingml/2006/main">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Indexfuturescontracten zijn afhankelijk van meerdere factoren.</w:t>
            </w:r>
            <w:r>
              <w:rPr xmlns:w="http://schemas.openxmlformats.org/wordprocessingml/2006/main">
                <w:rFonts w:ascii="Calibri" w:cs="Calibri" w:eastAsia="Calibri" w:hAnsi="Calibri"/>
                <w:sz w:val="22"/>
                <w:szCs w:val="22"/>
                <w:color w:val="auto"/>
              </w:rPr>
              <w:t xml:space="preserve"> De</w:t>
            </w:r>
          </w:p>
        </w:tc>
        <w:tc>
          <w:tcPr>
            <w:tcW w:w="100" w:type="dxa"/>
            <w:vAlign w:val="bottom"/>
            <w:tcBorders>
              <w:top w:val="single" w:sz="8" w:color="auto"/>
              <w:bottom w:val="single" w:sz="8" w:color="auto"/>
            </w:tcBorders>
            <w:shd w:val="clear" w:color="auto" w:fill="DADADA"/>
          </w:tcPr>
          <w:p>
            <w:pPr>
              <w:spacing w:after="0"/>
              <w:rPr>
                <w:sz w:val="21"/>
                <w:szCs w:val="21"/>
                <w:color w:val="auto"/>
              </w:rPr>
            </w:pPr>
          </w:p>
        </w:tc>
        <w:tc>
          <w:tcPr>
            <w:tcW w:w="3580" w:type="dxa"/>
            <w:vAlign w:val="bottom"/>
            <w:tcBorders>
              <w:top w:val="single" w:sz="8" w:color="auto"/>
              <w:bottom w:val="single" w:sz="8" w:color="auto"/>
              <w:right w:val="single" w:sz="8" w:color="DADADA"/>
            </w:tcBorders>
            <w:gridSpan w:val="7"/>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Samenstelling van de kosten</w:t>
            </w:r>
          </w:p>
        </w:tc>
        <w:tc>
          <w:tcPr>
            <w:tcW w:w="100" w:type="dxa"/>
            <w:vAlign w:val="bottom"/>
            <w:tcBorders>
              <w:top w:val="single" w:sz="8" w:color="auto"/>
              <w:bottom w:val="single" w:sz="8" w:color="auto"/>
            </w:tcBorders>
            <w:shd w:val="clear" w:color="auto" w:fill="DADADA"/>
          </w:tcPr>
          <w:p>
            <w:pPr>
              <w:spacing w:after="0"/>
              <w:rPr>
                <w:sz w:val="21"/>
                <w:szCs w:val="21"/>
                <w:color w:val="auto"/>
              </w:rPr>
            </w:pPr>
          </w:p>
        </w:tc>
        <w:tc>
          <w:tcPr>
            <w:tcW w:w="1440" w:type="dxa"/>
            <w:vAlign w:val="bottom"/>
            <w:tcBorders>
              <w:top w:val="single" w:sz="8" w:color="auto"/>
              <w:bottom w:val="single" w:sz="8" w:color="auto"/>
              <w:right w:val="single" w:sz="8" w:color="auto"/>
            </w:tcBorders>
            <w:shd w:val="clear" w:color="auto" w:fill="DADADA"/>
          </w:tcPr>
          <w:p>
            <w:pPr>
              <w:spacing w:after="0"/>
              <w:rPr>
                <w:sz w:val="21"/>
                <w:szCs w:val="21"/>
                <w:color w:val="auto"/>
              </w:rPr>
            </w:pPr>
          </w:p>
        </w:tc>
        <w:tc>
          <w:tcPr>
            <w:tcW w:w="0" w:type="dxa"/>
            <w:vAlign w:val="bottom"/>
          </w:tcPr>
          <w:p>
            <w:pPr>
              <w:spacing w:after="0"/>
              <w:rPr>
                <w:sz w:val="1"/>
                <w:szCs w:val="1"/>
                <w:color w:val="auto"/>
              </w:rPr>
            </w:pPr>
          </w:p>
        </w:tc>
      </w:tr>
      <w:tr>
        <w:trPr>
          <w:trHeight w:val="249"/>
        </w:trPr>
        <w:tc>
          <w:tcPr>
            <w:tcW w:w="5440" w:type="dxa"/>
            <w:vAlign w:val="bottom"/>
            <w:tcBorders>
              <w:right w:val="single" w:sz="8" w:color="auto"/>
            </w:tcBorders>
          </w:tcPr>
          <w:p>
            <w:pPr xmlns:w="http://schemas.openxmlformats.org/wordprocessingml/2006/main">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De vereiste initiële marge is het vereiste bedrag</w:t>
            </w:r>
          </w:p>
        </w:tc>
        <w:tc>
          <w:tcPr>
            <w:tcW w:w="100" w:type="dxa"/>
            <w:vAlign w:val="bottom"/>
            <w:tcBorders>
              <w:bottom w:val="single" w:sz="8" w:color="auto"/>
            </w:tcBorders>
            <w:shd w:val="clear" w:color="auto" w:fill="DADADA"/>
          </w:tcPr>
          <w:p>
            <w:pPr>
              <w:spacing w:after="0"/>
              <w:rPr>
                <w:sz w:val="21"/>
                <w:szCs w:val="21"/>
                <w:color w:val="auto"/>
              </w:rPr>
            </w:pPr>
          </w:p>
        </w:tc>
        <w:tc>
          <w:tcPr>
            <w:tcW w:w="3460" w:type="dxa"/>
            <w:vAlign w:val="bottom"/>
            <w:tcBorders>
              <w:bottom w:val="single" w:sz="8" w:color="auto"/>
            </w:tcBorders>
            <w:gridSpan w:val="6"/>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Eenmalige kosten bij binnenkomst of vertrek</w:t>
            </w:r>
          </w:p>
        </w:tc>
        <w:tc>
          <w:tcPr>
            <w:tcW w:w="120" w:type="dxa"/>
            <w:vAlign w:val="bottom"/>
            <w:tcBorders>
              <w:bottom w:val="single" w:sz="8" w:color="auto"/>
              <w:right w:val="single" w:sz="8" w:color="auto"/>
            </w:tcBorders>
            <w:shd w:val="clear" w:color="auto" w:fill="DADADA"/>
          </w:tcPr>
          <w:p>
            <w:pPr>
              <w:spacing w:after="0"/>
              <w:rPr>
                <w:sz w:val="21"/>
                <w:szCs w:val="21"/>
                <w:color w:val="auto"/>
              </w:rPr>
            </w:pPr>
          </w:p>
        </w:tc>
        <w:tc>
          <w:tcPr>
            <w:tcW w:w="100" w:type="dxa"/>
            <w:vAlign w:val="bottom"/>
            <w:tcBorders>
              <w:bottom w:val="single" w:sz="8" w:color="auto"/>
            </w:tcBorders>
            <w:shd w:val="clear" w:color="auto" w:fill="DADADA"/>
          </w:tcPr>
          <w:p>
            <w:pPr>
              <w:spacing w:after="0"/>
              <w:rPr>
                <w:sz w:val="21"/>
                <w:szCs w:val="21"/>
                <w:color w:val="auto"/>
              </w:rPr>
            </w:pPr>
          </w:p>
        </w:tc>
        <w:tc>
          <w:tcPr>
            <w:tcW w:w="1440" w:type="dxa"/>
            <w:vAlign w:val="bottom"/>
            <w:tcBorders>
              <w:bottom w:val="single" w:sz="8" w:color="auto"/>
              <w:right w:val="single" w:sz="8" w:color="auto"/>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Bedrag (initieel)</w:t>
            </w:r>
          </w:p>
        </w:tc>
        <w:tc>
          <w:tcPr>
            <w:tcW w:w="0" w:type="dxa"/>
            <w:vAlign w:val="bottom"/>
          </w:tcPr>
          <w:p>
            <w:pPr>
              <w:spacing w:after="0"/>
              <w:rPr>
                <w:sz w:val="1"/>
                <w:szCs w:val="1"/>
                <w:color w:val="auto"/>
              </w:rPr>
            </w:pPr>
          </w:p>
        </w:tc>
      </w:tr>
      <w:tr>
        <w:trPr>
          <w:trHeight w:val="240"/>
        </w:trPr>
        <w:tc>
          <w:tcPr>
            <w:tcW w:w="5440" w:type="dxa"/>
            <w:vAlign w:val="bottom"/>
            <w:tcBorders>
              <w:right w:val="single" w:sz="8" w:color="auto"/>
            </w:tcBorders>
          </w:tcPr>
          <w:p>
            <w:pPr xmlns:w="http://schemas.openxmlformats.org/wordprocessingml/2006/main">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gedeponeerd door de belegger bij zijn of haar makelaar om deel te nemen</w:t>
            </w:r>
          </w:p>
        </w:tc>
        <w:tc>
          <w:tcPr>
            <w:tcW w:w="100" w:type="dxa"/>
            <w:vAlign w:val="bottom"/>
          </w:tcPr>
          <w:p>
            <w:pPr>
              <w:spacing w:after="0"/>
              <w:rPr>
                <w:sz w:val="20"/>
                <w:szCs w:val="20"/>
                <w:color w:val="auto"/>
              </w:rPr>
            </w:pPr>
          </w:p>
        </w:tc>
        <w:tc>
          <w:tcPr>
            <w:tcW w:w="1420" w:type="dxa"/>
            <w:vAlign w:val="bottom"/>
            <w:tcBorders>
              <w:right w:val="single" w:sz="8" w:color="auto"/>
            </w:tcBorders>
          </w:tcPr>
          <w:p>
            <w:pPr>
              <w:spacing w:after="0"/>
              <w:rPr>
                <w:sz w:val="20"/>
                <w:szCs w:val="20"/>
                <w:color w:val="auto"/>
              </w:rPr>
            </w:pPr>
          </w:p>
        </w:tc>
        <w:tc>
          <w:tcPr>
            <w:tcW w:w="100" w:type="dxa"/>
            <w:vAlign w:val="bottom"/>
          </w:tcPr>
          <w:p>
            <w:pPr>
              <w:spacing w:after="0"/>
              <w:rPr>
                <w:sz w:val="20"/>
                <w:szCs w:val="20"/>
                <w:color w:val="auto"/>
              </w:rPr>
            </w:pPr>
          </w:p>
        </w:tc>
        <w:tc>
          <w:tcPr>
            <w:tcW w:w="2060" w:type="dxa"/>
            <w:vAlign w:val="bottom"/>
            <w:tcBorders>
              <w:right w:val="single" w:sz="8" w:color="auto"/>
            </w:tcBorders>
            <w:gridSpan w:val="5"/>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Premie (bepaald door</w:t>
            </w:r>
          </w:p>
        </w:tc>
        <w:tc>
          <w:tcPr>
            <w:tcW w:w="100" w:type="dxa"/>
            <w:vAlign w:val="bottom"/>
          </w:tcPr>
          <w:p>
            <w:pPr>
              <w:spacing w:after="0"/>
              <w:rPr>
                <w:sz w:val="20"/>
                <w:szCs w:val="20"/>
                <w:color w:val="auto"/>
              </w:rPr>
            </w:pPr>
          </w:p>
        </w:tc>
        <w:tc>
          <w:tcPr>
            <w:tcW w:w="1440" w:type="dxa"/>
            <w:vAlign w:val="bottom"/>
            <w:tcBorders>
              <w:right w:val="single" w:sz="8" w:color="auto"/>
            </w:tcBorders>
          </w:tcPr>
          <w:p>
            <w:pPr>
              <w:spacing w:after="0"/>
              <w:rPr>
                <w:sz w:val="20"/>
                <w:szCs w:val="20"/>
                <w:color w:val="auto"/>
              </w:rPr>
            </w:pPr>
          </w:p>
        </w:tc>
        <w:tc>
          <w:tcPr>
            <w:tcW w:w="0" w:type="dxa"/>
            <w:vAlign w:val="bottom"/>
          </w:tcPr>
          <w:p>
            <w:pPr>
              <w:spacing w:after="0"/>
              <w:rPr>
                <w:sz w:val="1"/>
                <w:szCs w:val="1"/>
                <w:color w:val="auto"/>
              </w:rPr>
            </w:pPr>
          </w:p>
        </w:tc>
      </w:tr>
      <w:tr>
        <w:trPr>
          <w:trHeight w:val="186"/>
        </w:trPr>
        <w:tc>
          <w:tcPr>
            <w:tcW w:w="5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het indexfuturescontract.</w:t>
            </w:r>
            <w:r>
              <w:rPr xmlns:w="http://schemas.openxmlformats.org/wordprocessingml/2006/main">
                <w:rFonts w:ascii="Calibri" w:cs="Calibri" w:eastAsia="Calibri" w:hAnsi="Calibri"/>
                <w:sz w:val="22"/>
                <w:szCs w:val="22"/>
                <w:color w:val="auto"/>
              </w:rPr>
              <w:t xml:space="preserve"> Dit bedrag is over het algemeen gelijk</w:t>
            </w:r>
          </w:p>
        </w:tc>
        <w:tc>
          <w:tcPr>
            <w:tcW w:w="100" w:type="dxa"/>
            <w:vAlign w:val="bottom"/>
          </w:tcPr>
          <w:p>
            <w:pPr>
              <w:spacing w:after="0"/>
              <w:rPr>
                <w:sz w:val="16"/>
                <w:szCs w:val="16"/>
                <w:color w:val="auto"/>
              </w:rPr>
            </w:pPr>
          </w:p>
        </w:tc>
        <w:tc>
          <w:tcPr>
            <w:tcW w:w="1420" w:type="dxa"/>
            <w:vAlign w:val="bottom"/>
            <w:tcBorders>
              <w:right w:val="single" w:sz="8" w:color="auto"/>
            </w:tcBorders>
          </w:tcPr>
          <w:p>
            <w:pPr xmlns:w="http://schemas.openxmlformats.org/wordprocessingml/2006/main">
              <w:spacing w:after="0" w:line="186" w:lineRule="exact"/>
              <w:rPr>
                <w:sz w:val="20"/>
                <w:szCs w:val="20"/>
                <w:color w:val="auto"/>
              </w:rPr>
            </w:pPr>
            <w:r>
              <w:rPr xmlns:w="http://schemas.openxmlformats.org/wordprocessingml/2006/main">
                <w:rFonts w:ascii="Calibri" w:cs="Calibri" w:eastAsia="Calibri" w:hAnsi="Calibri"/>
                <w:sz w:val="18"/>
                <w:szCs w:val="18"/>
                <w:color w:val="auto"/>
              </w:rPr>
              <w:t xml:space="preserve">Toegangsprijzen (per</w:t>
            </w:r>
          </w:p>
        </w:tc>
        <w:tc>
          <w:tcPr>
            <w:tcW w:w="100" w:type="dxa"/>
            <w:vAlign w:val="bottom"/>
          </w:tcPr>
          <w:p>
            <w:pPr>
              <w:spacing w:after="0"/>
              <w:rPr>
                <w:sz w:val="16"/>
                <w:szCs w:val="16"/>
                <w:color w:val="auto"/>
              </w:rPr>
            </w:pPr>
          </w:p>
        </w:tc>
        <w:tc>
          <w:tcPr>
            <w:tcW w:w="2060" w:type="dxa"/>
            <w:vAlign w:val="bottom"/>
            <w:tcBorders>
              <w:right w:val="single" w:sz="8" w:color="auto"/>
            </w:tcBorders>
            <w:gridSpan w:val="5"/>
          </w:tcPr>
          <w:p>
            <w:pPr xmlns:w="http://schemas.openxmlformats.org/wordprocessingml/2006/main">
              <w:spacing w:after="0" w:line="186" w:lineRule="exact"/>
              <w:rPr>
                <w:sz w:val="20"/>
                <w:szCs w:val="20"/>
                <w:color w:val="auto"/>
              </w:rPr>
            </w:pPr>
            <w:r>
              <w:rPr xmlns:w="http://schemas.openxmlformats.org/wordprocessingml/2006/main">
                <w:rFonts w:ascii="Calibri" w:cs="Calibri" w:eastAsia="Calibri" w:hAnsi="Calibri"/>
                <w:sz w:val="18"/>
                <w:szCs w:val="18"/>
                <w:color w:val="auto"/>
              </w:rPr>
              <w:t xml:space="preserve">koper en verkoper),</w:t>
            </w:r>
          </w:p>
        </w:tc>
        <w:tc>
          <w:tcPr>
            <w:tcW w:w="100" w:type="dxa"/>
            <w:vAlign w:val="bottom"/>
          </w:tcPr>
          <w:p>
            <w:pPr>
              <w:spacing w:after="0"/>
              <w:rPr>
                <w:sz w:val="16"/>
                <w:szCs w:val="16"/>
                <w:color w:val="auto"/>
              </w:rPr>
            </w:pPr>
          </w:p>
        </w:tc>
        <w:tc>
          <w:tcPr>
            <w:tcW w:w="1440" w:type="dxa"/>
            <w:vAlign w:val="bottom"/>
            <w:tcBorders>
              <w:right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83"/>
        </w:trPr>
        <w:tc>
          <w:tcPr>
            <w:tcW w:w="5440" w:type="dxa"/>
            <w:vAlign w:val="bottom"/>
            <w:tcBorders>
              <w:right w:val="single" w:sz="8" w:color="auto"/>
            </w:tcBorders>
            <w:vMerge w:val="continue"/>
          </w:tcPr>
          <w:p>
            <w:pPr>
              <w:spacing w:after="0"/>
              <w:rPr>
                <w:sz w:val="7"/>
                <w:szCs w:val="7"/>
                <w:color w:val="auto"/>
              </w:rPr>
            </w:pPr>
          </w:p>
        </w:tc>
        <w:tc>
          <w:tcPr>
            <w:tcW w:w="100" w:type="dxa"/>
            <w:vAlign w:val="bottom"/>
          </w:tcPr>
          <w:p>
            <w:pPr>
              <w:spacing w:after="0"/>
              <w:rPr>
                <w:sz w:val="7"/>
                <w:szCs w:val="7"/>
                <w:color w:val="auto"/>
              </w:rPr>
            </w:pPr>
          </w:p>
        </w:tc>
        <w:tc>
          <w:tcPr>
            <w:tcW w:w="1420" w:type="dxa"/>
            <w:vAlign w:val="bottom"/>
            <w:tcBorders>
              <w:right w:val="single" w:sz="8" w:color="auto"/>
            </w:tcBorders>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Transactie -</w:t>
            </w:r>
          </w:p>
        </w:tc>
        <w:tc>
          <w:tcPr>
            <w:tcW w:w="100" w:type="dxa"/>
            <w:vAlign w:val="bottom"/>
          </w:tcPr>
          <w:p>
            <w:pPr>
              <w:spacing w:after="0"/>
              <w:rPr>
                <w:sz w:val="7"/>
                <w:szCs w:val="7"/>
                <w:color w:val="auto"/>
              </w:rPr>
            </w:pPr>
          </w:p>
        </w:tc>
        <w:tc>
          <w:tcPr>
            <w:tcW w:w="2060" w:type="dxa"/>
            <w:vAlign w:val="bottom"/>
            <w:tcBorders>
              <w:right w:val="single" w:sz="8" w:color="auto"/>
            </w:tcBorders>
            <w:gridSpan w:val="5"/>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Commissie (bepaald</w:t>
            </w:r>
          </w:p>
        </w:tc>
        <w:tc>
          <w:tcPr>
            <w:tcW w:w="100" w:type="dxa"/>
            <w:vAlign w:val="bottom"/>
          </w:tcPr>
          <w:p>
            <w:pPr>
              <w:spacing w:after="0"/>
              <w:rPr>
                <w:sz w:val="7"/>
                <w:szCs w:val="7"/>
                <w:color w:val="auto"/>
              </w:rPr>
            </w:pPr>
          </w:p>
        </w:tc>
        <w:tc>
          <w:tcPr>
            <w:tcW w:w="1440" w:type="dxa"/>
            <w:vAlign w:val="bottom"/>
            <w:tcBorders>
              <w:right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136"/>
        </w:trPr>
        <w:tc>
          <w:tcPr>
            <w:tcW w:w="5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een bepaald percentage van de huidige marktwaarde van de</w:t>
            </w:r>
          </w:p>
        </w:tc>
        <w:tc>
          <w:tcPr>
            <w:tcW w:w="100" w:type="dxa"/>
            <w:vAlign w:val="bottom"/>
          </w:tcPr>
          <w:p>
            <w:pPr>
              <w:spacing w:after="0"/>
              <w:rPr>
                <w:sz w:val="11"/>
                <w:szCs w:val="11"/>
                <w:color w:val="auto"/>
              </w:rPr>
            </w:pPr>
          </w:p>
        </w:tc>
        <w:tc>
          <w:tcPr>
            <w:tcW w:w="1420" w:type="dxa"/>
            <w:vAlign w:val="bottom"/>
            <w:tcBorders>
              <w:right w:val="single" w:sz="8" w:color="auto"/>
            </w:tcBorders>
            <w:vMerge w:val="continue"/>
          </w:tcPr>
          <w:p>
            <w:pPr>
              <w:spacing w:after="0"/>
              <w:rPr>
                <w:sz w:val="11"/>
                <w:szCs w:val="11"/>
                <w:color w:val="auto"/>
              </w:rPr>
            </w:pPr>
          </w:p>
        </w:tc>
        <w:tc>
          <w:tcPr>
            <w:tcW w:w="100" w:type="dxa"/>
            <w:vAlign w:val="bottom"/>
          </w:tcPr>
          <w:p>
            <w:pPr>
              <w:spacing w:after="0"/>
              <w:rPr>
                <w:sz w:val="11"/>
                <w:szCs w:val="11"/>
                <w:color w:val="auto"/>
              </w:rPr>
            </w:pPr>
          </w:p>
        </w:tc>
        <w:tc>
          <w:tcPr>
            <w:tcW w:w="2060" w:type="dxa"/>
            <w:vAlign w:val="bottom"/>
            <w:tcBorders>
              <w:right w:val="single" w:sz="8" w:color="auto"/>
            </w:tcBorders>
            <w:gridSpan w:val="5"/>
            <w:vMerge w:val="continue"/>
          </w:tcPr>
          <w:p>
            <w:pPr>
              <w:spacing w:after="0"/>
              <w:rPr>
                <w:sz w:val="11"/>
                <w:szCs w:val="11"/>
                <w:color w:val="auto"/>
              </w:rPr>
            </w:pPr>
          </w:p>
        </w:tc>
        <w:tc>
          <w:tcPr>
            <w:tcW w:w="100" w:type="dxa"/>
            <w:vAlign w:val="bottom"/>
          </w:tcPr>
          <w:p>
            <w:pPr>
              <w:spacing w:after="0"/>
              <w:rPr>
                <w:sz w:val="11"/>
                <w:szCs w:val="11"/>
                <w:color w:val="auto"/>
              </w:rPr>
            </w:pPr>
          </w:p>
        </w:tc>
        <w:tc>
          <w:tcPr>
            <w:tcW w:w="1440" w:type="dxa"/>
            <w:vAlign w:val="bottom"/>
            <w:tcBorders>
              <w:right w:val="single" w:sz="8" w:color="auto"/>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5440" w:type="dxa"/>
            <w:vAlign w:val="bottom"/>
            <w:tcBorders>
              <w:right w:val="single" w:sz="8" w:color="auto"/>
            </w:tcBorders>
            <w:vMerge w:val="continue"/>
          </w:tcPr>
          <w:p>
            <w:pPr>
              <w:spacing w:after="0"/>
              <w:rPr>
                <w:sz w:val="11"/>
                <w:szCs w:val="11"/>
                <w:color w:val="auto"/>
              </w:rPr>
            </w:pPr>
          </w:p>
        </w:tc>
        <w:tc>
          <w:tcPr>
            <w:tcW w:w="100" w:type="dxa"/>
            <w:vAlign w:val="bottom"/>
          </w:tcPr>
          <w:p>
            <w:pPr>
              <w:spacing w:after="0"/>
              <w:rPr>
                <w:sz w:val="11"/>
                <w:szCs w:val="11"/>
                <w:color w:val="auto"/>
              </w:rPr>
            </w:pPr>
          </w:p>
        </w:tc>
        <w:tc>
          <w:tcPr>
            <w:tcW w:w="142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opening (vermelding)</w:t>
            </w:r>
          </w:p>
        </w:tc>
        <w:tc>
          <w:tcPr>
            <w:tcW w:w="100" w:type="dxa"/>
            <w:vAlign w:val="bottom"/>
          </w:tcPr>
          <w:p>
            <w:pPr>
              <w:spacing w:after="0"/>
              <w:rPr>
                <w:sz w:val="11"/>
                <w:szCs w:val="11"/>
                <w:color w:val="auto"/>
              </w:rPr>
            </w:pPr>
          </w:p>
        </w:tc>
        <w:tc>
          <w:tcPr>
            <w:tcW w:w="206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door een beursvennootschap)</w:t>
            </w:r>
          </w:p>
        </w:tc>
        <w:tc>
          <w:tcPr>
            <w:tcW w:w="100" w:type="dxa"/>
            <w:vAlign w:val="bottom"/>
          </w:tcPr>
          <w:p>
            <w:pPr>
              <w:spacing w:after="0"/>
              <w:rPr>
                <w:sz w:val="11"/>
                <w:szCs w:val="11"/>
                <w:color w:val="auto"/>
              </w:rPr>
            </w:pPr>
          </w:p>
        </w:tc>
        <w:tc>
          <w:tcPr>
            <w:tcW w:w="1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variabel</w:t>
            </w:r>
          </w:p>
        </w:tc>
        <w:tc>
          <w:tcPr>
            <w:tcW w:w="0" w:type="dxa"/>
            <w:vAlign w:val="bottom"/>
          </w:tcPr>
          <w:p>
            <w:pPr>
              <w:spacing w:after="0"/>
              <w:rPr>
                <w:sz w:val="1"/>
                <w:szCs w:val="1"/>
                <w:color w:val="auto"/>
              </w:rPr>
            </w:pPr>
          </w:p>
        </w:tc>
      </w:tr>
      <w:tr>
        <w:trPr>
          <w:trHeight w:val="103"/>
        </w:trPr>
        <w:tc>
          <w:tcPr>
            <w:tcW w:w="5440" w:type="dxa"/>
            <w:vAlign w:val="bottom"/>
            <w:tcBorders>
              <w:right w:val="single" w:sz="8" w:color="auto"/>
            </w:tcBorders>
            <w:vMerge w:val="restart"/>
          </w:tcPr>
          <w:p>
            <w:pPr xmlns:w="http://schemas.openxmlformats.org/wordprocessingml/2006/main">
              <w:spacing w:after="0" w:line="267" w:lineRule="exact"/>
              <w:rPr>
                <w:sz w:val="20"/>
                <w:szCs w:val="20"/>
                <w:color w:val="auto"/>
              </w:rPr>
            </w:pPr>
            <w:r>
              <w:rPr xmlns:w="http://schemas.openxmlformats.org/wordprocessingml/2006/main">
                <w:rFonts w:ascii="Calibri" w:cs="Calibri" w:eastAsia="Calibri" w:hAnsi="Calibri"/>
                <w:sz w:val="22"/>
                <w:szCs w:val="22"/>
                <w:color w:val="auto"/>
              </w:rPr>
              <w:t xml:space="preserve">contract.</w:t>
            </w:r>
            <w:r>
              <w:rPr xmlns:w="http://schemas.openxmlformats.org/wordprocessingml/2006/main">
                <w:rFonts w:ascii="Calibri" w:cs="Calibri" w:eastAsia="Calibri" w:hAnsi="Calibri"/>
                <w:sz w:val="22"/>
                <w:szCs w:val="22"/>
                <w:color w:val="auto"/>
              </w:rPr>
              <w:t xml:space="preserve"> Het indexfuturescontract is ook gemarkeerd tot</w:t>
            </w:r>
          </w:p>
        </w:tc>
        <w:tc>
          <w:tcPr>
            <w:tcW w:w="100" w:type="dxa"/>
            <w:vAlign w:val="bottom"/>
            <w:tcBorders>
              <w:bottom w:val="single" w:sz="8" w:color="auto"/>
            </w:tcBorders>
          </w:tcPr>
          <w:p>
            <w:pPr>
              <w:spacing w:after="0"/>
              <w:rPr>
                <w:sz w:val="8"/>
                <w:szCs w:val="8"/>
                <w:color w:val="auto"/>
              </w:rPr>
            </w:pPr>
          </w:p>
        </w:tc>
        <w:tc>
          <w:tcPr>
            <w:tcW w:w="1420" w:type="dxa"/>
            <w:vAlign w:val="bottom"/>
            <w:tcBorders>
              <w:bottom w:val="single" w:sz="8" w:color="auto"/>
              <w:right w:val="single" w:sz="8" w:color="auto"/>
            </w:tcBorders>
            <w:vMerge w:val="continue"/>
          </w:tcPr>
          <w:p>
            <w:pPr>
              <w:spacing w:after="0"/>
              <w:rPr>
                <w:sz w:val="8"/>
                <w:szCs w:val="8"/>
                <w:color w:val="auto"/>
              </w:rPr>
            </w:pPr>
          </w:p>
        </w:tc>
        <w:tc>
          <w:tcPr>
            <w:tcW w:w="100" w:type="dxa"/>
            <w:vAlign w:val="bottom"/>
            <w:tcBorders>
              <w:bottom w:val="single" w:sz="8" w:color="auto"/>
            </w:tcBorders>
          </w:tcPr>
          <w:p>
            <w:pPr>
              <w:spacing w:after="0"/>
              <w:rPr>
                <w:sz w:val="8"/>
                <w:szCs w:val="8"/>
                <w:color w:val="auto"/>
              </w:rPr>
            </w:pPr>
          </w:p>
        </w:tc>
        <w:tc>
          <w:tcPr>
            <w:tcW w:w="2060" w:type="dxa"/>
            <w:vAlign w:val="bottom"/>
            <w:tcBorders>
              <w:bottom w:val="single" w:sz="8" w:color="auto"/>
              <w:right w:val="single" w:sz="8" w:color="auto"/>
            </w:tcBorders>
            <w:gridSpan w:val="5"/>
            <w:vMerge w:val="continue"/>
          </w:tcPr>
          <w:p>
            <w:pPr>
              <w:spacing w:after="0"/>
              <w:rPr>
                <w:sz w:val="8"/>
                <w:szCs w:val="8"/>
                <w:color w:val="auto"/>
              </w:rPr>
            </w:pPr>
          </w:p>
        </w:tc>
        <w:tc>
          <w:tcPr>
            <w:tcW w:w="100" w:type="dxa"/>
            <w:vAlign w:val="bottom"/>
            <w:tcBorders>
              <w:bottom w:val="single" w:sz="8" w:color="auto"/>
            </w:tcBorders>
          </w:tcPr>
          <w:p>
            <w:pPr>
              <w:spacing w:after="0"/>
              <w:rPr>
                <w:sz w:val="8"/>
                <w:szCs w:val="8"/>
                <w:color w:val="auto"/>
              </w:rPr>
            </w:pPr>
          </w:p>
        </w:tc>
        <w:tc>
          <w:tcPr>
            <w:tcW w:w="1440" w:type="dxa"/>
            <w:vAlign w:val="bottom"/>
            <w:tcBorders>
              <w:bottom w:val="single" w:sz="8" w:color="auto"/>
              <w:right w:val="single" w:sz="8" w:color="auto"/>
            </w:tcBorders>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44"/>
        </w:trPr>
        <w:tc>
          <w:tcPr>
            <w:tcW w:w="5440" w:type="dxa"/>
            <w:vAlign w:val="bottom"/>
            <w:tcBorders>
              <w:right w:val="single" w:sz="8" w:color="auto"/>
            </w:tcBorders>
            <w:vMerge w:val="continue"/>
          </w:tcPr>
          <w:p>
            <w:pPr>
              <w:spacing w:after="0"/>
              <w:rPr>
                <w:sz w:val="12"/>
                <w:szCs w:val="12"/>
                <w:color w:val="auto"/>
              </w:rPr>
            </w:pPr>
          </w:p>
        </w:tc>
        <w:tc>
          <w:tcPr>
            <w:tcW w:w="100" w:type="dxa"/>
            <w:vAlign w:val="bottom"/>
          </w:tcPr>
          <w:p>
            <w:pPr>
              <w:spacing w:after="0"/>
              <w:rPr>
                <w:sz w:val="12"/>
                <w:szCs w:val="12"/>
                <w:color w:val="auto"/>
              </w:rPr>
            </w:pPr>
          </w:p>
        </w:tc>
        <w:tc>
          <w:tcPr>
            <w:tcW w:w="1420" w:type="dxa"/>
            <w:vAlign w:val="bottom"/>
            <w:tcBorders>
              <w:right w:val="single" w:sz="8" w:color="auto"/>
            </w:tcBorders>
            <w:vMerge w:val="restart"/>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Exitkosten (per</w:t>
            </w:r>
          </w:p>
        </w:tc>
        <w:tc>
          <w:tcPr>
            <w:tcW w:w="10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100" w:type="dxa"/>
            <w:vAlign w:val="bottom"/>
          </w:tcPr>
          <w:p>
            <w:pPr>
              <w:spacing w:after="0"/>
              <w:rPr>
                <w:sz w:val="12"/>
                <w:szCs w:val="12"/>
                <w:color w:val="auto"/>
              </w:rPr>
            </w:pPr>
          </w:p>
        </w:tc>
        <w:tc>
          <w:tcPr>
            <w:tcW w:w="1440" w:type="dxa"/>
            <w:vAlign w:val="bottom"/>
            <w:tcBorders>
              <w:right w:val="single" w:sz="8" w:color="auto"/>
            </w:tcBorders>
          </w:tcPr>
          <w:p>
            <w:pPr>
              <w:spacing w:after="0"/>
              <w:rPr>
                <w:sz w:val="12"/>
                <w:szCs w:val="12"/>
                <w:color w:val="auto"/>
              </w:rPr>
            </w:pPr>
          </w:p>
        </w:tc>
        <w:tc>
          <w:tcPr>
            <w:tcW w:w="0" w:type="dxa"/>
            <w:vAlign w:val="bottom"/>
          </w:tcPr>
          <w:p>
            <w:pPr>
              <w:spacing w:after="0"/>
              <w:rPr>
                <w:sz w:val="1"/>
                <w:szCs w:val="1"/>
                <w:color w:val="auto"/>
              </w:rPr>
            </w:pPr>
          </w:p>
        </w:tc>
      </w:tr>
      <w:tr>
        <w:trPr>
          <w:trHeight w:val="61"/>
        </w:trPr>
        <w:tc>
          <w:tcPr>
            <w:tcW w:w="5440" w:type="dxa"/>
            <w:vAlign w:val="bottom"/>
            <w:tcBorders>
              <w:right w:val="single" w:sz="8" w:color="auto"/>
            </w:tcBorders>
          </w:tcPr>
          <w:p>
            <w:pPr>
              <w:spacing w:after="0"/>
              <w:rPr>
                <w:sz w:val="5"/>
                <w:szCs w:val="5"/>
                <w:color w:val="auto"/>
              </w:rPr>
            </w:pPr>
          </w:p>
        </w:tc>
        <w:tc>
          <w:tcPr>
            <w:tcW w:w="100" w:type="dxa"/>
            <w:vAlign w:val="bottom"/>
          </w:tcPr>
          <w:p>
            <w:pPr>
              <w:spacing w:after="0"/>
              <w:rPr>
                <w:sz w:val="5"/>
                <w:szCs w:val="5"/>
                <w:color w:val="auto"/>
              </w:rPr>
            </w:pPr>
          </w:p>
        </w:tc>
        <w:tc>
          <w:tcPr>
            <w:tcW w:w="1420" w:type="dxa"/>
            <w:vAlign w:val="bottom"/>
            <w:tcBorders>
              <w:right w:val="single" w:sz="8" w:color="auto"/>
            </w:tcBorders>
            <w:vMerge w:val="continue"/>
          </w:tcPr>
          <w:p>
            <w:pPr>
              <w:spacing w:after="0"/>
              <w:rPr>
                <w:sz w:val="5"/>
                <w:szCs w:val="5"/>
                <w:color w:val="auto"/>
              </w:rPr>
            </w:pPr>
          </w:p>
        </w:tc>
        <w:tc>
          <w:tcPr>
            <w:tcW w:w="100" w:type="dxa"/>
            <w:vAlign w:val="bottom"/>
          </w:tcPr>
          <w:p>
            <w:pPr>
              <w:spacing w:after="0"/>
              <w:rPr>
                <w:sz w:val="5"/>
                <w:szCs w:val="5"/>
                <w:color w:val="auto"/>
              </w:rPr>
            </w:pPr>
          </w:p>
        </w:tc>
        <w:tc>
          <w:tcPr>
            <w:tcW w:w="240" w:type="dxa"/>
            <w:vAlign w:val="bottom"/>
          </w:tcPr>
          <w:p>
            <w:pPr>
              <w:spacing w:after="0"/>
              <w:rPr>
                <w:sz w:val="5"/>
                <w:szCs w:val="5"/>
                <w:color w:val="auto"/>
              </w:rPr>
            </w:pPr>
          </w:p>
        </w:tc>
        <w:tc>
          <w:tcPr>
            <w:tcW w:w="460" w:type="dxa"/>
            <w:vAlign w:val="bottom"/>
          </w:tcPr>
          <w:p>
            <w:pPr>
              <w:spacing w:after="0"/>
              <w:rPr>
                <w:sz w:val="5"/>
                <w:szCs w:val="5"/>
                <w:color w:val="auto"/>
              </w:rPr>
            </w:pPr>
          </w:p>
        </w:tc>
        <w:tc>
          <w:tcPr>
            <w:tcW w:w="960" w:type="dxa"/>
            <w:vAlign w:val="bottom"/>
          </w:tcPr>
          <w:p>
            <w:pPr>
              <w:spacing w:after="0"/>
              <w:rPr>
                <w:sz w:val="5"/>
                <w:szCs w:val="5"/>
                <w:color w:val="auto"/>
              </w:rPr>
            </w:pPr>
          </w:p>
        </w:tc>
        <w:tc>
          <w:tcPr>
            <w:tcW w:w="280" w:type="dxa"/>
            <w:vAlign w:val="bottom"/>
          </w:tcPr>
          <w:p>
            <w:pPr>
              <w:spacing w:after="0"/>
              <w:rPr>
                <w:sz w:val="5"/>
                <w:szCs w:val="5"/>
                <w:color w:val="auto"/>
              </w:rPr>
            </w:pPr>
          </w:p>
        </w:tc>
        <w:tc>
          <w:tcPr>
            <w:tcW w:w="120" w:type="dxa"/>
            <w:vAlign w:val="bottom"/>
            <w:tcBorders>
              <w:right w:val="single" w:sz="8" w:color="auto"/>
            </w:tcBorders>
          </w:tcPr>
          <w:p>
            <w:pPr>
              <w:spacing w:after="0"/>
              <w:rPr>
                <w:sz w:val="5"/>
                <w:szCs w:val="5"/>
                <w:color w:val="auto"/>
              </w:rPr>
            </w:pPr>
          </w:p>
        </w:tc>
        <w:tc>
          <w:tcPr>
            <w:tcW w:w="100" w:type="dxa"/>
            <w:vAlign w:val="bottom"/>
          </w:tcPr>
          <w:p>
            <w:pPr>
              <w:spacing w:after="0"/>
              <w:rPr>
                <w:sz w:val="5"/>
                <w:szCs w:val="5"/>
                <w:color w:val="auto"/>
              </w:rPr>
            </w:pPr>
          </w:p>
        </w:tc>
        <w:tc>
          <w:tcPr>
            <w:tcW w:w="1440" w:type="dxa"/>
            <w:vAlign w:val="bottom"/>
            <w:tcBorders>
              <w:right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18"/>
        </w:trPr>
        <w:tc>
          <w:tcPr>
            <w:tcW w:w="5440" w:type="dxa"/>
            <w:vAlign w:val="bottom"/>
            <w:tcBorders>
              <w:right w:val="single" w:sz="8" w:color="auto"/>
            </w:tcBorders>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22"/>
                <w:szCs w:val="22"/>
                <w:color w:val="auto"/>
              </w:rPr>
              <w:t xml:space="preserve">markt ten minste dagelijks, en de rekening van elke koper zal</w:t>
            </w:r>
          </w:p>
        </w:tc>
        <w:tc>
          <w:tcPr>
            <w:tcW w:w="100" w:type="dxa"/>
            <w:vAlign w:val="bottom"/>
          </w:tcPr>
          <w:p>
            <w:pPr>
              <w:spacing w:after="0"/>
              <w:rPr>
                <w:sz w:val="18"/>
                <w:szCs w:val="18"/>
                <w:color w:val="auto"/>
              </w:rPr>
            </w:pPr>
          </w:p>
        </w:tc>
        <w:tc>
          <w:tcPr>
            <w:tcW w:w="1420" w:type="dxa"/>
            <w:vAlign w:val="bottom"/>
            <w:tcBorders>
              <w:right w:val="single" w:sz="8" w:color="auto"/>
            </w:tcBorders>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Transactie -</w:t>
            </w:r>
          </w:p>
        </w:tc>
        <w:tc>
          <w:tcPr>
            <w:tcW w:w="10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1440" w:type="dxa"/>
            <w:vAlign w:val="bottom"/>
            <w:tcBorders>
              <w:right w:val="single" w:sz="8" w:color="auto"/>
            </w:tcBorders>
          </w:tcPr>
          <w:p>
            <w:pPr>
              <w:spacing w:after="0"/>
              <w:rPr>
                <w:sz w:val="18"/>
                <w:szCs w:val="18"/>
                <w:color w:val="auto"/>
              </w:rPr>
            </w:pPr>
          </w:p>
        </w:tc>
        <w:tc>
          <w:tcPr>
            <w:tcW w:w="0" w:type="dxa"/>
            <w:vAlign w:val="bottom"/>
          </w:tcPr>
          <w:p>
            <w:pPr>
              <w:spacing w:after="0"/>
              <w:rPr>
                <w:sz w:val="1"/>
                <w:szCs w:val="1"/>
                <w:color w:val="auto"/>
              </w:rPr>
            </w:pPr>
          </w:p>
        </w:tc>
      </w:tr>
      <w:tr>
        <w:trPr>
          <w:trHeight w:val="237"/>
        </w:trPr>
        <w:tc>
          <w:tcPr>
            <w:tcW w:w="5440" w:type="dxa"/>
            <w:vAlign w:val="bottom"/>
            <w:tcBorders>
              <w:right w:val="single" w:sz="8" w:color="auto"/>
            </w:tcBorders>
          </w:tcPr>
          <w:p>
            <w:pPr xmlns:w="http://schemas.openxmlformats.org/wordprocessingml/2006/main">
              <w:spacing w:after="0" w:line="237" w:lineRule="exact"/>
              <w:rPr>
                <w:sz w:val="20"/>
                <w:szCs w:val="20"/>
                <w:color w:val="auto"/>
              </w:rPr>
            </w:pPr>
            <w:r>
              <w:rPr xmlns:w="http://schemas.openxmlformats.org/wordprocessingml/2006/main">
                <w:rFonts w:ascii="Calibri" w:cs="Calibri" w:eastAsia="Calibri" w:hAnsi="Calibri"/>
                <w:sz w:val="22"/>
                <w:szCs w:val="22"/>
                <w:color w:val="auto"/>
              </w:rPr>
              <w:t xml:space="preserve">het bedrag van de eventuele winst of het eventuele verlies op het contract weerspiegelen</w:t>
            </w:r>
          </w:p>
        </w:tc>
        <w:tc>
          <w:tcPr>
            <w:tcW w:w="100" w:type="dxa"/>
            <w:vAlign w:val="bottom"/>
            <w:tcBorders>
              <w:bottom w:val="single" w:sz="8" w:color="auto"/>
            </w:tcBorders>
          </w:tcPr>
          <w:p>
            <w:pPr>
              <w:spacing w:after="0"/>
              <w:rPr>
                <w:sz w:val="20"/>
                <w:szCs w:val="20"/>
                <w:color w:val="auto"/>
              </w:rPr>
            </w:pPr>
          </w:p>
        </w:tc>
        <w:tc>
          <w:tcPr>
            <w:tcW w:w="142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Afsluiten (afsluiten)</w:t>
            </w:r>
          </w:p>
        </w:tc>
        <w:tc>
          <w:tcPr>
            <w:tcW w:w="100" w:type="dxa"/>
            <w:vAlign w:val="bottom"/>
            <w:tcBorders>
              <w:bottom w:val="single" w:sz="8" w:color="auto"/>
            </w:tcBorders>
          </w:tcPr>
          <w:p>
            <w:pPr>
              <w:spacing w:after="0"/>
              <w:rPr>
                <w:sz w:val="20"/>
                <w:szCs w:val="20"/>
                <w:color w:val="auto"/>
              </w:rPr>
            </w:pPr>
          </w:p>
        </w:tc>
        <w:tc>
          <w:tcPr>
            <w:tcW w:w="2060" w:type="dxa"/>
            <w:vAlign w:val="bottom"/>
            <w:tcBorders>
              <w:bottom w:val="single" w:sz="8" w:color="auto"/>
              <w:right w:val="single" w:sz="8" w:color="auto"/>
            </w:tcBorders>
            <w:gridSpan w:val="5"/>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Premie, Commissie</w:t>
            </w:r>
          </w:p>
        </w:tc>
        <w:tc>
          <w:tcPr>
            <w:tcW w:w="100" w:type="dxa"/>
            <w:vAlign w:val="bottom"/>
            <w:tcBorders>
              <w:bottom w:val="single" w:sz="8" w:color="auto"/>
            </w:tcBorders>
          </w:tcPr>
          <w:p>
            <w:pPr>
              <w:spacing w:after="0"/>
              <w:rPr>
                <w:sz w:val="20"/>
                <w:szCs w:val="20"/>
                <w:color w:val="auto"/>
              </w:rPr>
            </w:pPr>
          </w:p>
        </w:tc>
        <w:tc>
          <w:tcPr>
            <w:tcW w:w="144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variabel</w:t>
            </w:r>
          </w:p>
        </w:tc>
        <w:tc>
          <w:tcPr>
            <w:tcW w:w="0" w:type="dxa"/>
            <w:vAlign w:val="bottom"/>
          </w:tcPr>
          <w:p>
            <w:pPr>
              <w:spacing w:after="0"/>
              <w:rPr>
                <w:sz w:val="1"/>
                <w:szCs w:val="1"/>
                <w:color w:val="auto"/>
              </w:rPr>
            </w:pPr>
          </w:p>
        </w:tc>
      </w:tr>
      <w:tr>
        <w:trPr>
          <w:trHeight w:val="204"/>
        </w:trPr>
        <w:tc>
          <w:tcPr>
            <w:tcW w:w="5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op basis van de dagelijkse afwikkelingsprijs van het contract en</w:t>
            </w:r>
          </w:p>
        </w:tc>
        <w:tc>
          <w:tcPr>
            <w:tcW w:w="100" w:type="dxa"/>
            <w:vAlign w:val="bottom"/>
            <w:shd w:val="clear" w:color="auto" w:fill="DADADA"/>
          </w:tcPr>
          <w:p>
            <w:pPr>
              <w:spacing w:after="0"/>
              <w:rPr>
                <w:sz w:val="17"/>
                <w:szCs w:val="17"/>
                <w:color w:val="auto"/>
              </w:rPr>
            </w:pPr>
          </w:p>
        </w:tc>
        <w:tc>
          <w:tcPr>
            <w:tcW w:w="1420" w:type="dxa"/>
            <w:vAlign w:val="bottom"/>
            <w:tcBorders>
              <w:right w:val="single" w:sz="8" w:color="DADADA"/>
            </w:tcBorders>
            <w:shd w:val="clear" w:color="auto" w:fill="DADADA"/>
          </w:tcPr>
          <w:p>
            <w:pPr>
              <w:spacing w:after="0"/>
              <w:rPr>
                <w:sz w:val="17"/>
                <w:szCs w:val="17"/>
                <w:color w:val="auto"/>
              </w:rPr>
            </w:pPr>
          </w:p>
        </w:tc>
        <w:tc>
          <w:tcPr>
            <w:tcW w:w="100" w:type="dxa"/>
            <w:vAlign w:val="bottom"/>
            <w:shd w:val="clear" w:color="auto" w:fill="DADADA"/>
          </w:tcPr>
          <w:p>
            <w:pPr>
              <w:spacing w:after="0"/>
              <w:rPr>
                <w:sz w:val="17"/>
                <w:szCs w:val="17"/>
                <w:color w:val="auto"/>
              </w:rPr>
            </w:pPr>
          </w:p>
        </w:tc>
        <w:tc>
          <w:tcPr>
            <w:tcW w:w="240" w:type="dxa"/>
            <w:vAlign w:val="bottom"/>
            <w:shd w:val="clear" w:color="auto" w:fill="DADADA"/>
          </w:tcPr>
          <w:p>
            <w:pPr>
              <w:spacing w:after="0"/>
              <w:rPr>
                <w:sz w:val="17"/>
                <w:szCs w:val="17"/>
                <w:color w:val="auto"/>
              </w:rPr>
            </w:pPr>
          </w:p>
        </w:tc>
        <w:tc>
          <w:tcPr>
            <w:tcW w:w="460" w:type="dxa"/>
            <w:vAlign w:val="bottom"/>
            <w:shd w:val="clear" w:color="auto" w:fill="DADADA"/>
          </w:tcPr>
          <w:p>
            <w:pPr>
              <w:spacing w:after="0"/>
              <w:rPr>
                <w:sz w:val="17"/>
                <w:szCs w:val="17"/>
                <w:color w:val="auto"/>
              </w:rPr>
            </w:pPr>
          </w:p>
        </w:tc>
        <w:tc>
          <w:tcPr>
            <w:tcW w:w="960" w:type="dxa"/>
            <w:vAlign w:val="bottom"/>
            <w:shd w:val="clear" w:color="auto" w:fill="DADADA"/>
          </w:tcPr>
          <w:p>
            <w:pPr>
              <w:spacing w:after="0"/>
              <w:rPr>
                <w:sz w:val="17"/>
                <w:szCs w:val="17"/>
                <w:color w:val="auto"/>
              </w:rPr>
            </w:pPr>
          </w:p>
        </w:tc>
        <w:tc>
          <w:tcPr>
            <w:tcW w:w="280" w:type="dxa"/>
            <w:vAlign w:val="bottom"/>
            <w:shd w:val="clear" w:color="auto" w:fill="DADADA"/>
          </w:tcPr>
          <w:p>
            <w:pPr>
              <w:spacing w:after="0"/>
              <w:rPr>
                <w:sz w:val="17"/>
                <w:szCs w:val="17"/>
                <w:color w:val="auto"/>
              </w:rPr>
            </w:pPr>
          </w:p>
        </w:tc>
        <w:tc>
          <w:tcPr>
            <w:tcW w:w="120" w:type="dxa"/>
            <w:vAlign w:val="bottom"/>
            <w:tcBorders>
              <w:right w:val="single" w:sz="8" w:color="auto"/>
            </w:tcBorders>
            <w:shd w:val="clear" w:color="auto" w:fill="DADADA"/>
          </w:tcPr>
          <w:p>
            <w:pPr>
              <w:spacing w:after="0"/>
              <w:rPr>
                <w:sz w:val="17"/>
                <w:szCs w:val="17"/>
                <w:color w:val="auto"/>
              </w:rPr>
            </w:pPr>
          </w:p>
        </w:tc>
        <w:tc>
          <w:tcPr>
            <w:tcW w:w="100" w:type="dxa"/>
            <w:vAlign w:val="bottom"/>
            <w:shd w:val="clear" w:color="auto" w:fill="DADADA"/>
          </w:tcPr>
          <w:p>
            <w:pPr>
              <w:spacing w:after="0"/>
              <w:rPr>
                <w:sz w:val="17"/>
                <w:szCs w:val="17"/>
                <w:color w:val="auto"/>
              </w:rPr>
            </w:pPr>
          </w:p>
        </w:tc>
        <w:tc>
          <w:tcPr>
            <w:tcW w:w="1440" w:type="dxa"/>
            <w:vAlign w:val="bottom"/>
            <w:tcBorders>
              <w:right w:val="single" w:sz="8" w:color="auto"/>
            </w:tcBorders>
            <w:shd w:val="clear" w:color="auto" w:fill="DADADA"/>
          </w:tcPr>
          <w:p>
            <w:pPr xmlns:w="http://schemas.openxmlformats.org/wordprocessingml/2006/main">
              <w:spacing w:after="0" w:line="204" w:lineRule="exact"/>
              <w:rPr>
                <w:sz w:val="20"/>
                <w:szCs w:val="20"/>
                <w:color w:val="auto"/>
              </w:rPr>
            </w:pPr>
            <w:r>
              <w:rPr xmlns:w="http://schemas.openxmlformats.org/wordprocessingml/2006/main">
                <w:rFonts w:ascii="Calibri" w:cs="Calibri" w:eastAsia="Calibri" w:hAnsi="Calibri"/>
                <w:sz w:val="18"/>
                <w:szCs w:val="18"/>
                <w:color w:val="auto"/>
              </w:rPr>
              <w:t xml:space="preserve">Bedrag (op elk moment</w:t>
            </w:r>
          </w:p>
        </w:tc>
        <w:tc>
          <w:tcPr>
            <w:tcW w:w="0" w:type="dxa"/>
            <w:vAlign w:val="bottom"/>
          </w:tcPr>
          <w:p>
            <w:pPr>
              <w:spacing w:after="0"/>
              <w:rPr>
                <w:sz w:val="1"/>
                <w:szCs w:val="1"/>
                <w:color w:val="auto"/>
              </w:rPr>
            </w:pPr>
          </w:p>
        </w:tc>
      </w:tr>
      <w:tr>
        <w:trPr>
          <w:trHeight w:val="66"/>
        </w:trPr>
        <w:tc>
          <w:tcPr>
            <w:tcW w:w="5440" w:type="dxa"/>
            <w:vAlign w:val="bottom"/>
            <w:tcBorders>
              <w:right w:val="single" w:sz="8" w:color="auto"/>
            </w:tcBorders>
            <w:vMerge w:val="continue"/>
          </w:tcPr>
          <w:p>
            <w:pPr>
              <w:spacing w:after="0"/>
              <w:rPr>
                <w:sz w:val="5"/>
                <w:szCs w:val="5"/>
                <w:color w:val="auto"/>
              </w:rPr>
            </w:pPr>
          </w:p>
        </w:tc>
        <w:tc>
          <w:tcPr>
            <w:tcW w:w="100" w:type="dxa"/>
            <w:vAlign w:val="bottom"/>
            <w:shd w:val="clear" w:color="auto" w:fill="DADADA"/>
          </w:tcPr>
          <w:p>
            <w:pPr>
              <w:spacing w:after="0"/>
              <w:rPr>
                <w:sz w:val="5"/>
                <w:szCs w:val="5"/>
                <w:color w:val="auto"/>
              </w:rPr>
            </w:pPr>
          </w:p>
        </w:tc>
        <w:tc>
          <w:tcPr>
            <w:tcW w:w="1420" w:type="dxa"/>
            <w:vAlign w:val="bottom"/>
            <w:tcBorders>
              <w:right w:val="single" w:sz="8" w:color="DADADA"/>
            </w:tcBorders>
            <w:vMerge w:val="restart"/>
            <w:shd w:val="clear" w:color="auto" w:fill="DADADA"/>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Lopende kosten</w:t>
            </w:r>
          </w:p>
        </w:tc>
        <w:tc>
          <w:tcPr>
            <w:tcW w:w="100" w:type="dxa"/>
            <w:vAlign w:val="bottom"/>
            <w:shd w:val="clear" w:color="auto" w:fill="DADADA"/>
          </w:tcPr>
          <w:p>
            <w:pPr>
              <w:spacing w:after="0"/>
              <w:rPr>
                <w:sz w:val="5"/>
                <w:szCs w:val="5"/>
                <w:color w:val="auto"/>
              </w:rPr>
            </w:pPr>
          </w:p>
        </w:tc>
        <w:tc>
          <w:tcPr>
            <w:tcW w:w="240" w:type="dxa"/>
            <w:vAlign w:val="bottom"/>
            <w:shd w:val="clear" w:color="auto" w:fill="DADADA"/>
          </w:tcPr>
          <w:p>
            <w:pPr>
              <w:spacing w:after="0"/>
              <w:rPr>
                <w:sz w:val="5"/>
                <w:szCs w:val="5"/>
                <w:color w:val="auto"/>
              </w:rPr>
            </w:pPr>
          </w:p>
        </w:tc>
        <w:tc>
          <w:tcPr>
            <w:tcW w:w="460" w:type="dxa"/>
            <w:vAlign w:val="bottom"/>
            <w:shd w:val="clear" w:color="auto" w:fill="DADADA"/>
          </w:tcPr>
          <w:p>
            <w:pPr>
              <w:spacing w:after="0"/>
              <w:rPr>
                <w:sz w:val="5"/>
                <w:szCs w:val="5"/>
                <w:color w:val="auto"/>
              </w:rPr>
            </w:pPr>
          </w:p>
        </w:tc>
        <w:tc>
          <w:tcPr>
            <w:tcW w:w="960" w:type="dxa"/>
            <w:vAlign w:val="bottom"/>
            <w:shd w:val="clear" w:color="auto" w:fill="DADADA"/>
          </w:tcPr>
          <w:p>
            <w:pPr>
              <w:spacing w:after="0"/>
              <w:rPr>
                <w:sz w:val="5"/>
                <w:szCs w:val="5"/>
                <w:color w:val="auto"/>
              </w:rPr>
            </w:pPr>
          </w:p>
        </w:tc>
        <w:tc>
          <w:tcPr>
            <w:tcW w:w="280" w:type="dxa"/>
            <w:vAlign w:val="bottom"/>
            <w:shd w:val="clear" w:color="auto" w:fill="DADADA"/>
          </w:tcPr>
          <w:p>
            <w:pPr>
              <w:spacing w:after="0"/>
              <w:rPr>
                <w:sz w:val="5"/>
                <w:szCs w:val="5"/>
                <w:color w:val="auto"/>
              </w:rPr>
            </w:pPr>
          </w:p>
        </w:tc>
        <w:tc>
          <w:tcPr>
            <w:tcW w:w="120" w:type="dxa"/>
            <w:vAlign w:val="bottom"/>
            <w:tcBorders>
              <w:right w:val="single" w:sz="8" w:color="auto"/>
            </w:tcBorders>
            <w:shd w:val="clear" w:color="auto" w:fill="DADADA"/>
          </w:tcPr>
          <w:p>
            <w:pPr>
              <w:spacing w:after="0"/>
              <w:rPr>
                <w:sz w:val="5"/>
                <w:szCs w:val="5"/>
                <w:color w:val="auto"/>
              </w:rPr>
            </w:pPr>
          </w:p>
        </w:tc>
        <w:tc>
          <w:tcPr>
            <w:tcW w:w="100" w:type="dxa"/>
            <w:vAlign w:val="bottom"/>
            <w:shd w:val="clear" w:color="auto" w:fill="DADADA"/>
          </w:tcPr>
          <w:p>
            <w:pPr>
              <w:spacing w:after="0"/>
              <w:rPr>
                <w:sz w:val="5"/>
                <w:szCs w:val="5"/>
                <w:color w:val="auto"/>
              </w:rPr>
            </w:pPr>
          </w:p>
        </w:tc>
        <w:tc>
          <w:tcPr>
            <w:tcW w:w="1440" w:type="dxa"/>
            <w:vAlign w:val="bottom"/>
            <w:tcBorders>
              <w:right w:val="single" w:sz="8" w:color="auto"/>
            </w:tcBorders>
            <w:vMerge w:val="restart"/>
            <w:shd w:val="clear" w:color="auto" w:fill="DADADA"/>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tijd)</w:t>
            </w:r>
          </w:p>
        </w:tc>
        <w:tc>
          <w:tcPr>
            <w:tcW w:w="0" w:type="dxa"/>
            <w:vAlign w:val="bottom"/>
          </w:tcPr>
          <w:p>
            <w:pPr>
              <w:spacing w:after="0"/>
              <w:rPr>
                <w:sz w:val="1"/>
                <w:szCs w:val="1"/>
                <w:color w:val="auto"/>
              </w:rPr>
            </w:pPr>
          </w:p>
        </w:tc>
      </w:tr>
      <w:tr>
        <w:trPr>
          <w:trHeight w:val="168"/>
        </w:trPr>
        <w:tc>
          <w:tcPr>
            <w:tcW w:w="5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Aanvullende stortingen van variatiemarge kunnen vereist zijn.</w:t>
            </w:r>
          </w:p>
        </w:tc>
        <w:tc>
          <w:tcPr>
            <w:tcW w:w="100" w:type="dxa"/>
            <w:vAlign w:val="bottom"/>
            <w:tcBorders>
              <w:bottom w:val="single" w:sz="8" w:color="auto"/>
            </w:tcBorders>
            <w:shd w:val="clear" w:color="auto" w:fill="DADADA"/>
          </w:tcPr>
          <w:p>
            <w:pPr>
              <w:spacing w:after="0"/>
              <w:rPr>
                <w:sz w:val="14"/>
                <w:szCs w:val="14"/>
                <w:color w:val="auto"/>
              </w:rPr>
            </w:pPr>
          </w:p>
        </w:tc>
        <w:tc>
          <w:tcPr>
            <w:tcW w:w="1420" w:type="dxa"/>
            <w:vAlign w:val="bottom"/>
            <w:tcBorders>
              <w:bottom w:val="single" w:sz="8" w:color="auto"/>
              <w:right w:val="single" w:sz="8" w:color="DADADA"/>
            </w:tcBorders>
            <w:vMerge w:val="continue"/>
            <w:shd w:val="clear" w:color="auto" w:fill="DADADA"/>
          </w:tcPr>
          <w:p>
            <w:pPr>
              <w:spacing w:after="0"/>
              <w:rPr>
                <w:sz w:val="14"/>
                <w:szCs w:val="14"/>
                <w:color w:val="auto"/>
              </w:rPr>
            </w:pPr>
          </w:p>
        </w:tc>
        <w:tc>
          <w:tcPr>
            <w:tcW w:w="100" w:type="dxa"/>
            <w:vAlign w:val="bottom"/>
            <w:tcBorders>
              <w:bottom w:val="single" w:sz="8" w:color="auto"/>
            </w:tcBorders>
            <w:shd w:val="clear" w:color="auto" w:fill="DADADA"/>
          </w:tcPr>
          <w:p>
            <w:pPr>
              <w:spacing w:after="0"/>
              <w:rPr>
                <w:sz w:val="14"/>
                <w:szCs w:val="14"/>
                <w:color w:val="auto"/>
              </w:rPr>
            </w:pPr>
          </w:p>
        </w:tc>
        <w:tc>
          <w:tcPr>
            <w:tcW w:w="240" w:type="dxa"/>
            <w:vAlign w:val="bottom"/>
            <w:tcBorders>
              <w:bottom w:val="single" w:sz="8" w:color="auto"/>
            </w:tcBorders>
            <w:shd w:val="clear" w:color="auto" w:fill="DADADA"/>
          </w:tcPr>
          <w:p>
            <w:pPr>
              <w:spacing w:after="0"/>
              <w:rPr>
                <w:sz w:val="14"/>
                <w:szCs w:val="14"/>
                <w:color w:val="auto"/>
              </w:rPr>
            </w:pPr>
          </w:p>
        </w:tc>
        <w:tc>
          <w:tcPr>
            <w:tcW w:w="460" w:type="dxa"/>
            <w:vAlign w:val="bottom"/>
            <w:tcBorders>
              <w:bottom w:val="single" w:sz="8" w:color="auto"/>
            </w:tcBorders>
            <w:shd w:val="clear" w:color="auto" w:fill="DADADA"/>
          </w:tcPr>
          <w:p>
            <w:pPr>
              <w:spacing w:after="0"/>
              <w:rPr>
                <w:sz w:val="14"/>
                <w:szCs w:val="14"/>
                <w:color w:val="auto"/>
              </w:rPr>
            </w:pPr>
          </w:p>
        </w:tc>
        <w:tc>
          <w:tcPr>
            <w:tcW w:w="960" w:type="dxa"/>
            <w:vAlign w:val="bottom"/>
            <w:tcBorders>
              <w:bottom w:val="single" w:sz="8" w:color="auto"/>
            </w:tcBorders>
            <w:shd w:val="clear" w:color="auto" w:fill="DADADA"/>
          </w:tcPr>
          <w:p>
            <w:pPr>
              <w:spacing w:after="0"/>
              <w:rPr>
                <w:sz w:val="14"/>
                <w:szCs w:val="14"/>
                <w:color w:val="auto"/>
              </w:rPr>
            </w:pPr>
          </w:p>
        </w:tc>
        <w:tc>
          <w:tcPr>
            <w:tcW w:w="280" w:type="dxa"/>
            <w:vAlign w:val="bottom"/>
            <w:tcBorders>
              <w:bottom w:val="single" w:sz="8" w:color="auto"/>
            </w:tcBorders>
            <w:shd w:val="clear" w:color="auto" w:fill="DADADA"/>
          </w:tcPr>
          <w:p>
            <w:pPr>
              <w:spacing w:after="0"/>
              <w:rPr>
                <w:sz w:val="14"/>
                <w:szCs w:val="14"/>
                <w:color w:val="auto"/>
              </w:rPr>
            </w:pPr>
          </w:p>
        </w:tc>
        <w:tc>
          <w:tcPr>
            <w:tcW w:w="120" w:type="dxa"/>
            <w:vAlign w:val="bottom"/>
            <w:tcBorders>
              <w:bottom w:val="single" w:sz="8" w:color="auto"/>
              <w:right w:val="single" w:sz="8" w:color="auto"/>
            </w:tcBorders>
            <w:shd w:val="clear" w:color="auto" w:fill="DADADA"/>
          </w:tcPr>
          <w:p>
            <w:pPr>
              <w:spacing w:after="0"/>
              <w:rPr>
                <w:sz w:val="14"/>
                <w:szCs w:val="14"/>
                <w:color w:val="auto"/>
              </w:rPr>
            </w:pPr>
          </w:p>
        </w:tc>
        <w:tc>
          <w:tcPr>
            <w:tcW w:w="100" w:type="dxa"/>
            <w:vAlign w:val="bottom"/>
            <w:tcBorders>
              <w:bottom w:val="single" w:sz="8" w:color="auto"/>
            </w:tcBorders>
            <w:shd w:val="clear" w:color="auto" w:fill="DADADA"/>
          </w:tcPr>
          <w:p>
            <w:pPr>
              <w:spacing w:after="0"/>
              <w:rPr>
                <w:sz w:val="14"/>
                <w:szCs w:val="14"/>
                <w:color w:val="auto"/>
              </w:rPr>
            </w:pPr>
          </w:p>
        </w:tc>
        <w:tc>
          <w:tcPr>
            <w:tcW w:w="1440" w:type="dxa"/>
            <w:vAlign w:val="bottom"/>
            <w:tcBorders>
              <w:bottom w:val="single" w:sz="8" w:color="auto"/>
              <w:right w:val="single" w:sz="8" w:color="auto"/>
            </w:tcBorders>
            <w:vMerge w:val="continue"/>
            <w:shd w:val="clear" w:color="auto" w:fill="DADADA"/>
          </w:tcPr>
          <w:p>
            <w:pPr>
              <w:spacing w:after="0"/>
              <w:rPr>
                <w:sz w:val="14"/>
                <w:szCs w:val="14"/>
                <w:color w:val="auto"/>
              </w:rPr>
            </w:pPr>
          </w:p>
        </w:tc>
        <w:tc>
          <w:tcPr>
            <w:tcW w:w="0" w:type="dxa"/>
            <w:vAlign w:val="bottom"/>
          </w:tcPr>
          <w:p>
            <w:pPr>
              <w:spacing w:after="0"/>
              <w:rPr>
                <w:sz w:val="1"/>
                <w:szCs w:val="1"/>
                <w:color w:val="auto"/>
              </w:rPr>
            </w:pPr>
          </w:p>
        </w:tc>
      </w:tr>
      <w:tr>
        <w:trPr>
          <w:trHeight w:val="81"/>
        </w:trPr>
        <w:tc>
          <w:tcPr>
            <w:tcW w:w="5440" w:type="dxa"/>
            <w:vAlign w:val="bottom"/>
            <w:tcBorders>
              <w:right w:val="single" w:sz="8" w:color="auto"/>
            </w:tcBorders>
            <w:vMerge w:val="continue"/>
          </w:tcPr>
          <w:p>
            <w:pPr>
              <w:spacing w:after="0"/>
              <w:rPr>
                <w:sz w:val="7"/>
                <w:szCs w:val="7"/>
                <w:color w:val="auto"/>
              </w:rPr>
            </w:pPr>
          </w:p>
        </w:tc>
        <w:tc>
          <w:tcPr>
            <w:tcW w:w="100" w:type="dxa"/>
            <w:vAlign w:val="bottom"/>
          </w:tcPr>
          <w:p>
            <w:pPr>
              <w:spacing w:after="0"/>
              <w:rPr>
                <w:sz w:val="7"/>
                <w:szCs w:val="7"/>
                <w:color w:val="auto"/>
              </w:rPr>
            </w:pPr>
          </w:p>
        </w:tc>
        <w:tc>
          <w:tcPr>
            <w:tcW w:w="1420" w:type="dxa"/>
            <w:vAlign w:val="bottom"/>
            <w:tcBorders>
              <w:right w:val="single" w:sz="8" w:color="auto"/>
            </w:tcBorders>
            <w:vMerge w:val="restart"/>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Beheer</w:t>
            </w:r>
          </w:p>
        </w:tc>
        <w:tc>
          <w:tcPr>
            <w:tcW w:w="100" w:type="dxa"/>
            <w:vAlign w:val="bottom"/>
          </w:tcPr>
          <w:p>
            <w:pPr>
              <w:spacing w:after="0"/>
              <w:rPr>
                <w:sz w:val="7"/>
                <w:szCs w:val="7"/>
                <w:color w:val="auto"/>
              </w:rPr>
            </w:pPr>
          </w:p>
        </w:tc>
        <w:tc>
          <w:tcPr>
            <w:tcW w:w="240" w:type="dxa"/>
            <w:vAlign w:val="bottom"/>
          </w:tcPr>
          <w:p>
            <w:pPr>
              <w:spacing w:after="0"/>
              <w:rPr>
                <w:sz w:val="7"/>
                <w:szCs w:val="7"/>
                <w:color w:val="auto"/>
              </w:rPr>
            </w:pPr>
          </w:p>
        </w:tc>
        <w:tc>
          <w:tcPr>
            <w:tcW w:w="460" w:type="dxa"/>
            <w:vAlign w:val="bottom"/>
          </w:tcPr>
          <w:p>
            <w:pPr>
              <w:spacing w:after="0"/>
              <w:rPr>
                <w:sz w:val="7"/>
                <w:szCs w:val="7"/>
                <w:color w:val="auto"/>
              </w:rPr>
            </w:pPr>
          </w:p>
        </w:tc>
        <w:tc>
          <w:tcPr>
            <w:tcW w:w="960" w:type="dxa"/>
            <w:vAlign w:val="bottom"/>
          </w:tcPr>
          <w:p>
            <w:pPr>
              <w:spacing w:after="0"/>
              <w:rPr>
                <w:sz w:val="7"/>
                <w:szCs w:val="7"/>
                <w:color w:val="auto"/>
              </w:rPr>
            </w:pPr>
          </w:p>
        </w:tc>
        <w:tc>
          <w:tcPr>
            <w:tcW w:w="280" w:type="dxa"/>
            <w:vAlign w:val="bottom"/>
          </w:tcPr>
          <w:p>
            <w:pPr>
              <w:spacing w:after="0"/>
              <w:rPr>
                <w:sz w:val="7"/>
                <w:szCs w:val="7"/>
                <w:color w:val="auto"/>
              </w:rPr>
            </w:pPr>
          </w:p>
        </w:tc>
        <w:tc>
          <w:tcPr>
            <w:tcW w:w="120" w:type="dxa"/>
            <w:vAlign w:val="bottom"/>
            <w:tcBorders>
              <w:right w:val="single" w:sz="8" w:color="auto"/>
            </w:tcBorders>
          </w:tcPr>
          <w:p>
            <w:pPr>
              <w:spacing w:after="0"/>
              <w:rPr>
                <w:sz w:val="7"/>
                <w:szCs w:val="7"/>
                <w:color w:val="auto"/>
              </w:rPr>
            </w:pPr>
          </w:p>
        </w:tc>
        <w:tc>
          <w:tcPr>
            <w:tcW w:w="100" w:type="dxa"/>
            <w:vAlign w:val="bottom"/>
          </w:tcPr>
          <w:p>
            <w:pPr>
              <w:spacing w:after="0"/>
              <w:rPr>
                <w:sz w:val="7"/>
                <w:szCs w:val="7"/>
                <w:color w:val="auto"/>
              </w:rPr>
            </w:pPr>
          </w:p>
        </w:tc>
        <w:tc>
          <w:tcPr>
            <w:tcW w:w="1440" w:type="dxa"/>
            <w:vAlign w:val="bottom"/>
            <w:tcBorders>
              <w:right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124"/>
        </w:trPr>
        <w:tc>
          <w:tcPr>
            <w:tcW w:w="5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Individuele beursvennootschappen kunnen ook aanvullende</w:t>
            </w:r>
          </w:p>
        </w:tc>
        <w:tc>
          <w:tcPr>
            <w:tcW w:w="100" w:type="dxa"/>
            <w:vAlign w:val="bottom"/>
          </w:tcPr>
          <w:p>
            <w:pPr>
              <w:spacing w:after="0"/>
              <w:rPr>
                <w:sz w:val="10"/>
                <w:szCs w:val="10"/>
                <w:color w:val="auto"/>
              </w:rPr>
            </w:pPr>
          </w:p>
        </w:tc>
        <w:tc>
          <w:tcPr>
            <w:tcW w:w="1420" w:type="dxa"/>
            <w:vAlign w:val="bottom"/>
            <w:tcBorders>
              <w:right w:val="single" w:sz="8" w:color="auto"/>
            </w:tcBorders>
            <w:vMerge w:val="continue"/>
          </w:tcPr>
          <w:p>
            <w:pPr>
              <w:spacing w:after="0"/>
              <w:rPr>
                <w:sz w:val="10"/>
                <w:szCs w:val="10"/>
                <w:color w:val="auto"/>
              </w:rPr>
            </w:pPr>
          </w:p>
        </w:tc>
        <w:tc>
          <w:tcPr>
            <w:tcW w:w="10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46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120" w:type="dxa"/>
            <w:vAlign w:val="bottom"/>
            <w:tcBorders>
              <w:right w:val="single" w:sz="8" w:color="auto"/>
            </w:tcBorders>
          </w:tcPr>
          <w:p>
            <w:pPr>
              <w:spacing w:after="0"/>
              <w:rPr>
                <w:sz w:val="10"/>
                <w:szCs w:val="10"/>
                <w:color w:val="auto"/>
              </w:rPr>
            </w:pPr>
          </w:p>
        </w:tc>
        <w:tc>
          <w:tcPr>
            <w:tcW w:w="100" w:type="dxa"/>
            <w:vAlign w:val="bottom"/>
          </w:tcPr>
          <w:p>
            <w:pPr>
              <w:spacing w:after="0"/>
              <w:rPr>
                <w:sz w:val="10"/>
                <w:szCs w:val="10"/>
                <w:color w:val="auto"/>
              </w:rPr>
            </w:pPr>
          </w:p>
        </w:tc>
        <w:tc>
          <w:tcPr>
            <w:tcW w:w="1440" w:type="dxa"/>
            <w:vAlign w:val="bottom"/>
            <w:tcBorders>
              <w:right w:val="single" w:sz="8" w:color="auto"/>
            </w:tcBorders>
          </w:tcPr>
          <w:p>
            <w:pPr>
              <w:spacing w:after="0"/>
              <w:rPr>
                <w:sz w:val="10"/>
                <w:szCs w:val="10"/>
                <w:color w:val="auto"/>
              </w:rPr>
            </w:pPr>
          </w:p>
        </w:tc>
        <w:tc>
          <w:tcPr>
            <w:tcW w:w="0" w:type="dxa"/>
            <w:vAlign w:val="bottom"/>
          </w:tcPr>
          <w:p>
            <w:pPr>
              <w:spacing w:after="0"/>
              <w:rPr>
                <w:sz w:val="1"/>
                <w:szCs w:val="1"/>
                <w:color w:val="auto"/>
              </w:rPr>
            </w:pPr>
          </w:p>
        </w:tc>
      </w:tr>
      <w:tr>
        <w:trPr>
          <w:trHeight w:val="145"/>
        </w:trPr>
        <w:tc>
          <w:tcPr>
            <w:tcW w:w="5440" w:type="dxa"/>
            <w:vAlign w:val="bottom"/>
            <w:tcBorders>
              <w:right w:val="single" w:sz="8" w:color="auto"/>
            </w:tcBorders>
            <w:vMerge w:val="continue"/>
          </w:tcPr>
          <w:p>
            <w:pPr>
              <w:spacing w:after="0"/>
              <w:rPr>
                <w:sz w:val="12"/>
                <w:szCs w:val="12"/>
                <w:color w:val="auto"/>
              </w:rPr>
            </w:pPr>
          </w:p>
        </w:tc>
        <w:tc>
          <w:tcPr>
            <w:tcW w:w="100" w:type="dxa"/>
            <w:vAlign w:val="bottom"/>
          </w:tcPr>
          <w:p>
            <w:pPr>
              <w:spacing w:after="0"/>
              <w:rPr>
                <w:sz w:val="12"/>
                <w:szCs w:val="12"/>
                <w:color w:val="auto"/>
              </w:rPr>
            </w:pPr>
          </w:p>
        </w:tc>
        <w:tc>
          <w:tcPr>
            <w:tcW w:w="142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Vergoedingen en andere</w:t>
            </w:r>
          </w:p>
        </w:tc>
        <w:tc>
          <w:tcPr>
            <w:tcW w:w="10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100" w:type="dxa"/>
            <w:vAlign w:val="bottom"/>
          </w:tcPr>
          <w:p>
            <w:pPr>
              <w:spacing w:after="0"/>
              <w:rPr>
                <w:sz w:val="12"/>
                <w:szCs w:val="12"/>
                <w:color w:val="auto"/>
              </w:rPr>
            </w:pPr>
          </w:p>
        </w:tc>
        <w:tc>
          <w:tcPr>
            <w:tcW w:w="1440" w:type="dxa"/>
            <w:vAlign w:val="bottom"/>
            <w:tcBorders>
              <w:right w:val="single" w:sz="8" w:color="auto"/>
            </w:tcBorders>
          </w:tcPr>
          <w:p>
            <w:pPr>
              <w:spacing w:after="0"/>
              <w:rPr>
                <w:sz w:val="12"/>
                <w:szCs w:val="12"/>
                <w:color w:val="auto"/>
              </w:rPr>
            </w:pPr>
          </w:p>
        </w:tc>
        <w:tc>
          <w:tcPr>
            <w:tcW w:w="0" w:type="dxa"/>
            <w:vAlign w:val="bottom"/>
          </w:tcPr>
          <w:p>
            <w:pPr>
              <w:spacing w:after="0"/>
              <w:rPr>
                <w:sz w:val="1"/>
                <w:szCs w:val="1"/>
                <w:color w:val="auto"/>
              </w:rPr>
            </w:pPr>
          </w:p>
        </w:tc>
      </w:tr>
      <w:tr>
        <w:trPr>
          <w:trHeight w:val="76"/>
        </w:trPr>
        <w:tc>
          <w:tcPr>
            <w:tcW w:w="5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marge die groter is dan die welke vereist is door OCC en een futures</w:t>
            </w:r>
          </w:p>
        </w:tc>
        <w:tc>
          <w:tcPr>
            <w:tcW w:w="100" w:type="dxa"/>
            <w:vAlign w:val="bottom"/>
          </w:tcPr>
          <w:p>
            <w:pPr>
              <w:spacing w:after="0"/>
              <w:rPr>
                <w:sz w:val="6"/>
                <w:szCs w:val="6"/>
                <w:color w:val="auto"/>
              </w:rPr>
            </w:pPr>
          </w:p>
        </w:tc>
        <w:tc>
          <w:tcPr>
            <w:tcW w:w="1420" w:type="dxa"/>
            <w:vAlign w:val="bottom"/>
            <w:tcBorders>
              <w:right w:val="single" w:sz="8" w:color="auto"/>
            </w:tcBorders>
            <w:vMerge w:val="continue"/>
          </w:tcPr>
          <w:p>
            <w:pPr>
              <w:spacing w:after="0"/>
              <w:rPr>
                <w:sz w:val="6"/>
                <w:szCs w:val="6"/>
                <w:color w:val="auto"/>
              </w:rPr>
            </w:pPr>
          </w:p>
        </w:tc>
        <w:tc>
          <w:tcPr>
            <w:tcW w:w="100" w:type="dxa"/>
            <w:vAlign w:val="bottom"/>
          </w:tcPr>
          <w:p>
            <w:pPr>
              <w:spacing w:after="0"/>
              <w:rPr>
                <w:sz w:val="6"/>
                <w:szCs w:val="6"/>
                <w:color w:val="auto"/>
              </w:rPr>
            </w:pPr>
          </w:p>
        </w:tc>
        <w:tc>
          <w:tcPr>
            <w:tcW w:w="240" w:type="dxa"/>
            <w:vAlign w:val="bottom"/>
          </w:tcPr>
          <w:p>
            <w:pPr>
              <w:spacing w:after="0"/>
              <w:rPr>
                <w:sz w:val="6"/>
                <w:szCs w:val="6"/>
                <w:color w:val="auto"/>
              </w:rPr>
            </w:pPr>
          </w:p>
        </w:tc>
        <w:tc>
          <w:tcPr>
            <w:tcW w:w="460" w:type="dxa"/>
            <w:vAlign w:val="bottom"/>
          </w:tcPr>
          <w:p>
            <w:pPr>
              <w:spacing w:after="0"/>
              <w:rPr>
                <w:sz w:val="6"/>
                <w:szCs w:val="6"/>
                <w:color w:val="auto"/>
              </w:rPr>
            </w:pPr>
          </w:p>
        </w:tc>
        <w:tc>
          <w:tcPr>
            <w:tcW w:w="960" w:type="dxa"/>
            <w:vAlign w:val="bottom"/>
          </w:tcPr>
          <w:p>
            <w:pPr>
              <w:spacing w:after="0"/>
              <w:rPr>
                <w:sz w:val="6"/>
                <w:szCs w:val="6"/>
                <w:color w:val="auto"/>
              </w:rPr>
            </w:pPr>
          </w:p>
        </w:tc>
        <w:tc>
          <w:tcPr>
            <w:tcW w:w="280" w:type="dxa"/>
            <w:vAlign w:val="bottom"/>
          </w:tcPr>
          <w:p>
            <w:pPr>
              <w:spacing w:after="0"/>
              <w:rPr>
                <w:sz w:val="6"/>
                <w:szCs w:val="6"/>
                <w:color w:val="auto"/>
              </w:rPr>
            </w:pPr>
          </w:p>
        </w:tc>
        <w:tc>
          <w:tcPr>
            <w:tcW w:w="120" w:type="dxa"/>
            <w:vAlign w:val="bottom"/>
            <w:tcBorders>
              <w:right w:val="single" w:sz="8" w:color="auto"/>
            </w:tcBorders>
          </w:tcPr>
          <w:p>
            <w:pPr>
              <w:spacing w:after="0"/>
              <w:rPr>
                <w:sz w:val="6"/>
                <w:szCs w:val="6"/>
                <w:color w:val="auto"/>
              </w:rPr>
            </w:pPr>
          </w:p>
        </w:tc>
        <w:tc>
          <w:tcPr>
            <w:tcW w:w="100" w:type="dxa"/>
            <w:vAlign w:val="bottom"/>
          </w:tcPr>
          <w:p>
            <w:pPr>
              <w:spacing w:after="0"/>
              <w:rPr>
                <w:sz w:val="6"/>
                <w:szCs w:val="6"/>
                <w:color w:val="auto"/>
              </w:rPr>
            </w:pPr>
          </w:p>
        </w:tc>
        <w:tc>
          <w:tcPr>
            <w:tcW w:w="1440" w:type="dxa"/>
            <w:vAlign w:val="bottom"/>
            <w:tcBorders>
              <w:right w:val="single" w:sz="8" w:color="auto"/>
            </w:tcBorders>
          </w:tcPr>
          <w:p>
            <w:pPr>
              <w:spacing w:after="0"/>
              <w:rPr>
                <w:sz w:val="6"/>
                <w:szCs w:val="6"/>
                <w:color w:val="auto"/>
              </w:rPr>
            </w:pPr>
          </w:p>
        </w:tc>
        <w:tc>
          <w:tcPr>
            <w:tcW w:w="0" w:type="dxa"/>
            <w:vAlign w:val="bottom"/>
          </w:tcPr>
          <w:p>
            <w:pPr>
              <w:spacing w:after="0"/>
              <w:rPr>
                <w:sz w:val="1"/>
                <w:szCs w:val="1"/>
                <w:color w:val="auto"/>
              </w:rPr>
            </w:pPr>
          </w:p>
        </w:tc>
      </w:tr>
      <w:tr>
        <w:trPr>
          <w:trHeight w:val="218"/>
        </w:trPr>
        <w:tc>
          <w:tcPr>
            <w:tcW w:w="5440" w:type="dxa"/>
            <w:vAlign w:val="bottom"/>
            <w:tcBorders>
              <w:right w:val="single" w:sz="8" w:color="auto"/>
            </w:tcBorders>
            <w:vMerge w:val="continue"/>
          </w:tcPr>
          <w:p>
            <w:pPr>
              <w:spacing w:after="0"/>
              <w:rPr>
                <w:sz w:val="18"/>
                <w:szCs w:val="18"/>
                <w:color w:val="auto"/>
              </w:rPr>
            </w:pPr>
          </w:p>
        </w:tc>
        <w:tc>
          <w:tcPr>
            <w:tcW w:w="100" w:type="dxa"/>
            <w:vAlign w:val="bottom"/>
          </w:tcPr>
          <w:p>
            <w:pPr>
              <w:spacing w:after="0"/>
              <w:rPr>
                <w:sz w:val="18"/>
                <w:szCs w:val="18"/>
                <w:color w:val="auto"/>
              </w:rPr>
            </w:pPr>
          </w:p>
        </w:tc>
        <w:tc>
          <w:tcPr>
            <w:tcW w:w="1420" w:type="dxa"/>
            <w:vAlign w:val="bottom"/>
            <w:tcBorders>
              <w:right w:val="single" w:sz="8" w:color="auto"/>
            </w:tcBorders>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administratieve of</w:t>
            </w:r>
          </w:p>
        </w:tc>
        <w:tc>
          <w:tcPr>
            <w:tcW w:w="100" w:type="dxa"/>
            <w:vAlign w:val="bottom"/>
          </w:tcPr>
          <w:p>
            <w:pPr>
              <w:spacing w:after="0"/>
              <w:rPr>
                <w:sz w:val="18"/>
                <w:szCs w:val="18"/>
                <w:color w:val="auto"/>
              </w:rPr>
            </w:pPr>
          </w:p>
        </w:tc>
        <w:tc>
          <w:tcPr>
            <w:tcW w:w="2060" w:type="dxa"/>
            <w:vAlign w:val="bottom"/>
            <w:tcBorders>
              <w:right w:val="single" w:sz="8" w:color="auto"/>
            </w:tcBorders>
            <w:gridSpan w:val="5"/>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Er is geen beheer</w:t>
            </w:r>
          </w:p>
        </w:tc>
        <w:tc>
          <w:tcPr>
            <w:tcW w:w="100" w:type="dxa"/>
            <w:vAlign w:val="bottom"/>
          </w:tcPr>
          <w:p>
            <w:pPr>
              <w:spacing w:after="0"/>
              <w:rPr>
                <w:sz w:val="18"/>
                <w:szCs w:val="18"/>
                <w:color w:val="auto"/>
              </w:rPr>
            </w:pPr>
          </w:p>
        </w:tc>
        <w:tc>
          <w:tcPr>
            <w:tcW w:w="1440" w:type="dxa"/>
            <w:vAlign w:val="bottom"/>
            <w:tcBorders>
              <w:right w:val="single" w:sz="8" w:color="auto"/>
            </w:tcBorders>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5440" w:type="dxa"/>
            <w:vAlign w:val="bottom"/>
            <w:tcBorders>
              <w:right w:val="single" w:sz="8" w:color="auto"/>
            </w:tcBorders>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22"/>
                <w:szCs w:val="22"/>
                <w:color w:val="auto"/>
              </w:rPr>
              <w:t xml:space="preserve">uitwisselen.</w:t>
            </w:r>
            <w:r>
              <w:rPr xmlns:w="http://schemas.openxmlformats.org/wordprocessingml/2006/main">
                <w:rFonts w:ascii="Calibri" w:cs="Calibri" w:eastAsia="Calibri" w:hAnsi="Calibri"/>
                <w:sz w:val="22"/>
                <w:szCs w:val="22"/>
                <w:color w:val="auto"/>
              </w:rPr>
              <w:t xml:space="preserve"> Factoren die een significant effect hebben op de</w:t>
            </w:r>
          </w:p>
        </w:tc>
        <w:tc>
          <w:tcPr>
            <w:tcW w:w="100" w:type="dxa"/>
            <w:vAlign w:val="bottom"/>
          </w:tcPr>
          <w:p>
            <w:pPr>
              <w:spacing w:after="0"/>
              <w:rPr>
                <w:sz w:val="18"/>
                <w:szCs w:val="18"/>
                <w:color w:val="auto"/>
              </w:rPr>
            </w:pPr>
          </w:p>
        </w:tc>
        <w:tc>
          <w:tcPr>
            <w:tcW w:w="1420" w:type="dxa"/>
            <w:vAlign w:val="bottom"/>
            <w:tcBorders>
              <w:right w:val="single" w:sz="8" w:color="auto"/>
            </w:tcBorders>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bedrijfskosten</w:t>
            </w:r>
          </w:p>
        </w:tc>
        <w:tc>
          <w:tcPr>
            <w:tcW w:w="100" w:type="dxa"/>
            <w:vAlign w:val="bottom"/>
          </w:tcPr>
          <w:p>
            <w:pPr>
              <w:spacing w:after="0"/>
              <w:rPr>
                <w:sz w:val="18"/>
                <w:szCs w:val="18"/>
                <w:color w:val="auto"/>
              </w:rPr>
            </w:pPr>
          </w:p>
        </w:tc>
        <w:tc>
          <w:tcPr>
            <w:tcW w:w="240" w:type="dxa"/>
            <w:vAlign w:val="bottom"/>
            <w:tcBorders>
              <w:bottom w:val="single" w:sz="8" w:color="auto"/>
            </w:tcBorders>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18"/>
                <w:szCs w:val="18"/>
                <w:color w:val="auto"/>
                <w:w w:val="93"/>
              </w:rPr>
              <w:t xml:space="preserve">honorarium</w:t>
            </w:r>
          </w:p>
        </w:tc>
        <w:tc>
          <w:tcPr>
            <w:tcW w:w="1820" w:type="dxa"/>
            <w:vAlign w:val="bottom"/>
            <w:tcBorders>
              <w:right w:val="single" w:sz="8" w:color="auto"/>
            </w:tcBorders>
            <w:gridSpan w:val="4"/>
          </w:tcPr>
          <w:p>
            <w:pPr>
              <w:spacing w:after="0"/>
              <w:rPr>
                <w:sz w:val="18"/>
                <w:szCs w:val="18"/>
                <w:color w:val="auto"/>
              </w:rPr>
            </w:pPr>
          </w:p>
        </w:tc>
        <w:tc>
          <w:tcPr>
            <w:tcW w:w="100" w:type="dxa"/>
            <w:vAlign w:val="bottom"/>
          </w:tcPr>
          <w:p>
            <w:pPr>
              <w:spacing w:after="0"/>
              <w:rPr>
                <w:sz w:val="18"/>
                <w:szCs w:val="18"/>
                <w:color w:val="auto"/>
              </w:rPr>
            </w:pPr>
          </w:p>
        </w:tc>
        <w:tc>
          <w:tcPr>
            <w:tcW w:w="1440" w:type="dxa"/>
            <w:vAlign w:val="bottom"/>
            <w:tcBorders>
              <w:right w:val="single" w:sz="8" w:color="auto"/>
            </w:tcBorders>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N.v.t.</w:t>
            </w:r>
          </w:p>
        </w:tc>
        <w:tc>
          <w:tcPr>
            <w:tcW w:w="0" w:type="dxa"/>
            <w:vAlign w:val="bottom"/>
          </w:tcPr>
          <w:p>
            <w:pPr>
              <w:spacing w:after="0"/>
              <w:rPr>
                <w:sz w:val="1"/>
                <w:szCs w:val="1"/>
                <w:color w:val="auto"/>
              </w:rPr>
            </w:pPr>
          </w:p>
        </w:tc>
      </w:tr>
      <w:tr>
        <w:trPr>
          <w:trHeight w:val="20"/>
        </w:trPr>
        <w:tc>
          <w:tcPr>
            <w:tcW w:w="5440" w:type="dxa"/>
            <w:vAlign w:val="bottom"/>
            <w:tcBorders>
              <w:right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20" w:type="dxa"/>
            <w:vAlign w:val="bottom"/>
            <w:tcBorders>
              <w:bottom w:val="single" w:sz="8" w:color="auto"/>
              <w:right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2060" w:type="dxa"/>
            <w:vAlign w:val="bottom"/>
            <w:tcBorders>
              <w:bottom w:val="single" w:sz="8" w:color="auto"/>
              <w:right w:val="single" w:sz="8" w:color="auto"/>
            </w:tcBorders>
            <w:gridSpan w:val="5"/>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right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4"/>
        </w:trPr>
        <w:tc>
          <w:tcPr>
            <w:tcW w:w="5440" w:type="dxa"/>
            <w:vAlign w:val="bottom"/>
            <w:tcBorders>
              <w:right w:val="single" w:sz="8" w:color="auto"/>
            </w:tcBorders>
          </w:tcPr>
          <w:p>
            <w:pPr xmlns:w="http://schemas.openxmlformats.org/wordprocessingml/2006/main">
              <w:spacing w:after="0" w:line="244" w:lineRule="exact"/>
              <w:rPr>
                <w:sz w:val="20"/>
                <w:szCs w:val="20"/>
                <w:color w:val="auto"/>
              </w:rPr>
            </w:pPr>
            <w:r>
              <w:rPr xmlns:w="http://schemas.openxmlformats.org/wordprocessingml/2006/main">
                <w:rFonts w:ascii="Calibri" w:cs="Calibri" w:eastAsia="Calibri" w:hAnsi="Calibri"/>
                <w:sz w:val="22"/>
                <w:szCs w:val="22"/>
                <w:color w:val="auto"/>
              </w:rPr>
              <w:t xml:space="preserve">Marktwaarde van een toekomstige index omvatten, maar zijn niet</w:t>
            </w:r>
          </w:p>
        </w:tc>
        <w:tc>
          <w:tcPr>
            <w:tcW w:w="100" w:type="dxa"/>
            <w:vAlign w:val="bottom"/>
          </w:tcPr>
          <w:p>
            <w:pPr>
              <w:spacing w:after="0"/>
              <w:rPr>
                <w:sz w:val="21"/>
                <w:szCs w:val="21"/>
                <w:color w:val="auto"/>
              </w:rPr>
            </w:pPr>
          </w:p>
        </w:tc>
        <w:tc>
          <w:tcPr>
            <w:tcW w:w="1420" w:type="dxa"/>
            <w:vAlign w:val="bottom"/>
            <w:tcBorders>
              <w:right w:val="single" w:sz="8" w:color="auto"/>
            </w:tcBorders>
          </w:tcPr>
          <w:p>
            <w:pPr>
              <w:spacing w:after="0"/>
              <w:rPr>
                <w:sz w:val="21"/>
                <w:szCs w:val="21"/>
                <w:color w:val="auto"/>
              </w:rPr>
            </w:pPr>
          </w:p>
        </w:tc>
        <w:tc>
          <w:tcPr>
            <w:tcW w:w="100" w:type="dxa"/>
            <w:vAlign w:val="bottom"/>
          </w:tcPr>
          <w:p>
            <w:pPr>
              <w:spacing w:after="0"/>
              <w:rPr>
                <w:sz w:val="21"/>
                <w:szCs w:val="21"/>
                <w:color w:val="auto"/>
              </w:rPr>
            </w:pPr>
          </w:p>
        </w:tc>
        <w:tc>
          <w:tcPr>
            <w:tcW w:w="2060" w:type="dxa"/>
            <w:vAlign w:val="bottom"/>
            <w:tcBorders>
              <w:right w:val="single" w:sz="8" w:color="auto"/>
            </w:tcBorders>
            <w:gridSpan w:val="5"/>
          </w:tcPr>
          <w:p>
            <w:pPr xmlns:w="http://schemas.openxmlformats.org/wordprocessingml/2006/main">
              <w:spacing w:after="0" w:line="193" w:lineRule="exact"/>
              <w:rPr>
                <w:sz w:val="20"/>
                <w:szCs w:val="20"/>
                <w:color w:val="auto"/>
              </w:rPr>
            </w:pPr>
            <w:r>
              <w:rPr xmlns:w="http://schemas.openxmlformats.org/wordprocessingml/2006/main">
                <w:rFonts w:ascii="Calibri" w:cs="Calibri" w:eastAsia="Calibri" w:hAnsi="Calibri"/>
                <w:sz w:val="18"/>
                <w:szCs w:val="18"/>
                <w:color w:val="auto"/>
              </w:rPr>
              <w:t xml:space="preserve">Marge (vereisten zijn</w:t>
            </w:r>
          </w:p>
        </w:tc>
        <w:tc>
          <w:tcPr>
            <w:tcW w:w="100" w:type="dxa"/>
            <w:vAlign w:val="bottom"/>
          </w:tcPr>
          <w:p>
            <w:pPr>
              <w:spacing w:after="0"/>
              <w:rPr>
                <w:sz w:val="21"/>
                <w:szCs w:val="21"/>
                <w:color w:val="auto"/>
              </w:rPr>
            </w:pPr>
          </w:p>
        </w:tc>
        <w:tc>
          <w:tcPr>
            <w:tcW w:w="1440" w:type="dxa"/>
            <w:vAlign w:val="bottom"/>
            <w:tcBorders>
              <w:right w:val="single" w:sz="8" w:color="auto"/>
            </w:tcBorders>
          </w:tcPr>
          <w:p>
            <w:pPr>
              <w:spacing w:after="0"/>
              <w:rPr>
                <w:sz w:val="21"/>
                <w:szCs w:val="21"/>
                <w:color w:val="auto"/>
              </w:rPr>
            </w:pPr>
          </w:p>
        </w:tc>
        <w:tc>
          <w:tcPr>
            <w:tcW w:w="0" w:type="dxa"/>
            <w:vAlign w:val="bottom"/>
          </w:tcPr>
          <w:p>
            <w:pPr>
              <w:spacing w:after="0"/>
              <w:rPr>
                <w:sz w:val="1"/>
                <w:szCs w:val="1"/>
                <w:color w:val="auto"/>
              </w:rPr>
            </w:pPr>
          </w:p>
        </w:tc>
      </w:tr>
      <w:tr>
        <w:trPr>
          <w:trHeight w:val="167"/>
        </w:trPr>
        <w:tc>
          <w:tcPr>
            <w:tcW w:w="5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beperkt tot de prijs van de onderliggende waarde, dividenduitkeringen en</w:t>
            </w:r>
          </w:p>
        </w:tc>
        <w:tc>
          <w:tcPr>
            <w:tcW w:w="100" w:type="dxa"/>
            <w:vAlign w:val="bottom"/>
          </w:tcPr>
          <w:p>
            <w:pPr>
              <w:spacing w:after="0"/>
              <w:rPr>
                <w:sz w:val="14"/>
                <w:szCs w:val="14"/>
                <w:color w:val="auto"/>
              </w:rPr>
            </w:pPr>
          </w:p>
        </w:tc>
        <w:tc>
          <w:tcPr>
            <w:tcW w:w="1420" w:type="dxa"/>
            <w:vAlign w:val="bottom"/>
            <w:tcBorders>
              <w:right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2060" w:type="dxa"/>
            <w:vAlign w:val="bottom"/>
            <w:tcBorders>
              <w:right w:val="single" w:sz="8" w:color="auto"/>
            </w:tcBorders>
            <w:gridSpan w:val="5"/>
          </w:tcPr>
          <w:p>
            <w:pPr xmlns:w="http://schemas.openxmlformats.org/wordprocessingml/2006/main">
              <w:spacing w:after="0" w:line="167" w:lineRule="exact"/>
              <w:rPr>
                <w:sz w:val="20"/>
                <w:szCs w:val="20"/>
                <w:color w:val="auto"/>
              </w:rPr>
            </w:pPr>
            <w:r>
              <w:rPr xmlns:w="http://schemas.openxmlformats.org/wordprocessingml/2006/main">
                <w:rFonts w:ascii="Calibri" w:cs="Calibri" w:eastAsia="Calibri" w:hAnsi="Calibri"/>
                <w:sz w:val="18"/>
                <w:szCs w:val="18"/>
                <w:color w:val="auto"/>
              </w:rPr>
              <w:t xml:space="preserve">onder voorbehoud van wijzigingen, en</w:t>
            </w:r>
          </w:p>
        </w:tc>
        <w:tc>
          <w:tcPr>
            <w:tcW w:w="100" w:type="dxa"/>
            <w:vAlign w:val="bottom"/>
          </w:tcPr>
          <w:p>
            <w:pPr>
              <w:spacing w:after="0"/>
              <w:rPr>
                <w:sz w:val="14"/>
                <w:szCs w:val="14"/>
                <w:color w:val="auto"/>
              </w:rPr>
            </w:pPr>
          </w:p>
        </w:tc>
        <w:tc>
          <w:tcPr>
            <w:tcW w:w="1440" w:type="dxa"/>
            <w:vAlign w:val="bottom"/>
            <w:tcBorders>
              <w:right w:val="single" w:sz="8" w:color="auto"/>
            </w:tcBorders>
          </w:tcPr>
          <w:p>
            <w:pPr xmlns:w="http://schemas.openxmlformats.org/wordprocessingml/2006/main">
              <w:spacing w:after="0" w:line="167" w:lineRule="exact"/>
              <w:rPr>
                <w:sz w:val="20"/>
                <w:szCs w:val="20"/>
                <w:color w:val="auto"/>
              </w:rPr>
            </w:pPr>
            <w:r>
              <w:rPr xmlns:w="http://schemas.openxmlformats.org/wordprocessingml/2006/main">
                <w:rFonts w:ascii="Calibri" w:cs="Calibri" w:eastAsia="Calibri" w:hAnsi="Calibri"/>
                <w:sz w:val="18"/>
                <w:szCs w:val="18"/>
                <w:color w:val="auto"/>
              </w:rPr>
              <w:t xml:space="preserve">variabel</w:t>
            </w:r>
          </w:p>
        </w:tc>
        <w:tc>
          <w:tcPr>
            <w:tcW w:w="0" w:type="dxa"/>
            <w:vAlign w:val="bottom"/>
          </w:tcPr>
          <w:p>
            <w:pPr>
              <w:spacing w:after="0"/>
              <w:rPr>
                <w:sz w:val="1"/>
                <w:szCs w:val="1"/>
                <w:color w:val="auto"/>
              </w:rPr>
            </w:pPr>
          </w:p>
        </w:tc>
      </w:tr>
      <w:tr>
        <w:trPr>
          <w:trHeight w:val="102"/>
        </w:trPr>
        <w:tc>
          <w:tcPr>
            <w:tcW w:w="5440" w:type="dxa"/>
            <w:vAlign w:val="bottom"/>
            <w:tcBorders>
              <w:right w:val="single" w:sz="8" w:color="auto"/>
            </w:tcBorders>
            <w:vMerge w:val="continue"/>
          </w:tcPr>
          <w:p>
            <w:pPr>
              <w:spacing w:after="0"/>
              <w:rPr>
                <w:sz w:val="8"/>
                <w:szCs w:val="8"/>
                <w:color w:val="auto"/>
              </w:rPr>
            </w:pPr>
          </w:p>
        </w:tc>
        <w:tc>
          <w:tcPr>
            <w:tcW w:w="100" w:type="dxa"/>
            <w:vAlign w:val="bottom"/>
          </w:tcPr>
          <w:p>
            <w:pPr>
              <w:spacing w:after="0"/>
              <w:rPr>
                <w:sz w:val="8"/>
                <w:szCs w:val="8"/>
                <w:color w:val="auto"/>
              </w:rPr>
            </w:pPr>
          </w:p>
        </w:tc>
        <w:tc>
          <w:tcPr>
            <w:tcW w:w="1420" w:type="dxa"/>
            <w:vAlign w:val="bottom"/>
            <w:tcBorders>
              <w:right w:val="single" w:sz="8" w:color="auto"/>
            </w:tcBorders>
            <w:vMerge w:val="restart"/>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Transactiekosten</w:t>
            </w:r>
          </w:p>
        </w:tc>
        <w:tc>
          <w:tcPr>
            <w:tcW w:w="100" w:type="dxa"/>
            <w:vAlign w:val="bottom"/>
          </w:tcPr>
          <w:p>
            <w:pPr>
              <w:spacing w:after="0"/>
              <w:rPr>
                <w:sz w:val="8"/>
                <w:szCs w:val="8"/>
                <w:color w:val="auto"/>
              </w:rPr>
            </w:pPr>
          </w:p>
        </w:tc>
        <w:tc>
          <w:tcPr>
            <w:tcW w:w="2060" w:type="dxa"/>
            <w:vAlign w:val="bottom"/>
            <w:tcBorders>
              <w:right w:val="single" w:sz="8" w:color="auto"/>
            </w:tcBorders>
            <w:gridSpan w:val="5"/>
            <w:vMerge w:val="restart"/>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kan per makelaardij verschillen)</w:t>
            </w:r>
          </w:p>
        </w:tc>
        <w:tc>
          <w:tcPr>
            <w:tcW w:w="100" w:type="dxa"/>
            <w:vAlign w:val="bottom"/>
          </w:tcPr>
          <w:p>
            <w:pPr>
              <w:spacing w:after="0"/>
              <w:rPr>
                <w:sz w:val="8"/>
                <w:szCs w:val="8"/>
                <w:color w:val="auto"/>
              </w:rPr>
            </w:pPr>
          </w:p>
        </w:tc>
        <w:tc>
          <w:tcPr>
            <w:tcW w:w="1440" w:type="dxa"/>
            <w:vAlign w:val="bottom"/>
            <w:tcBorders>
              <w:right w:val="single" w:sz="8" w:color="auto"/>
            </w:tcBorders>
            <w:vMerge w:val="restart"/>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(lopend)</w:t>
            </w:r>
          </w:p>
        </w:tc>
        <w:tc>
          <w:tcPr>
            <w:tcW w:w="0" w:type="dxa"/>
            <w:vAlign w:val="bottom"/>
          </w:tcPr>
          <w:p>
            <w:pPr>
              <w:spacing w:after="0"/>
              <w:rPr>
                <w:sz w:val="1"/>
                <w:szCs w:val="1"/>
                <w:color w:val="auto"/>
              </w:rPr>
            </w:pPr>
          </w:p>
        </w:tc>
      </w:tr>
      <w:tr>
        <w:trPr>
          <w:trHeight w:val="106"/>
        </w:trPr>
        <w:tc>
          <w:tcPr>
            <w:tcW w:w="5440" w:type="dxa"/>
            <w:vAlign w:val="bottom"/>
            <w:tcBorders>
              <w:right w:val="single" w:sz="8" w:color="auto"/>
            </w:tcBorders>
            <w:vMerge w:val="restart"/>
          </w:tcPr>
          <w:p>
            <w:pPr xmlns:w="http://schemas.openxmlformats.org/wordprocessingml/2006/main">
              <w:spacing w:after="0" w:line="267" w:lineRule="exact"/>
              <w:rPr>
                <w:sz w:val="20"/>
                <w:szCs w:val="20"/>
                <w:color w:val="auto"/>
              </w:rPr>
            </w:pPr>
            <w:r>
              <w:rPr xmlns:w="http://schemas.openxmlformats.org/wordprocessingml/2006/main">
                <w:rFonts w:ascii="Calibri" w:cs="Calibri" w:eastAsia="Calibri" w:hAnsi="Calibri"/>
                <w:sz w:val="22"/>
                <w:szCs w:val="22"/>
                <w:color w:val="auto"/>
              </w:rPr>
              <w:t xml:space="preserve">tijd tot volwassenheid.</w:t>
            </w:r>
            <w:r>
              <w:rPr xmlns:w="http://schemas.openxmlformats.org/wordprocessingml/2006/main">
                <w:rFonts w:ascii="Calibri" w:cs="Calibri" w:eastAsia="Calibri" w:hAnsi="Calibri"/>
                <w:sz w:val="22"/>
                <w:szCs w:val="22"/>
                <w:color w:val="auto"/>
              </w:rPr>
              <w:t xml:space="preserve"> Futures-beleggen brengt extra kosten met zich mee</w:t>
            </w:r>
          </w:p>
        </w:tc>
        <w:tc>
          <w:tcPr>
            <w:tcW w:w="100" w:type="dxa"/>
            <w:vAlign w:val="bottom"/>
          </w:tcPr>
          <w:p>
            <w:pPr>
              <w:spacing w:after="0"/>
              <w:rPr>
                <w:sz w:val="9"/>
                <w:szCs w:val="9"/>
                <w:color w:val="auto"/>
              </w:rPr>
            </w:pPr>
          </w:p>
        </w:tc>
        <w:tc>
          <w:tcPr>
            <w:tcW w:w="1420" w:type="dxa"/>
            <w:vAlign w:val="bottom"/>
            <w:tcBorders>
              <w:right w:val="single" w:sz="8" w:color="auto"/>
            </w:tcBorders>
            <w:vMerge w:val="continue"/>
          </w:tcPr>
          <w:p>
            <w:pPr>
              <w:spacing w:after="0"/>
              <w:rPr>
                <w:sz w:val="9"/>
                <w:szCs w:val="9"/>
                <w:color w:val="auto"/>
              </w:rPr>
            </w:pPr>
          </w:p>
        </w:tc>
        <w:tc>
          <w:tcPr>
            <w:tcW w:w="100" w:type="dxa"/>
            <w:vAlign w:val="bottom"/>
          </w:tcPr>
          <w:p>
            <w:pPr>
              <w:spacing w:after="0"/>
              <w:rPr>
                <w:sz w:val="9"/>
                <w:szCs w:val="9"/>
                <w:color w:val="auto"/>
              </w:rPr>
            </w:pPr>
          </w:p>
        </w:tc>
        <w:tc>
          <w:tcPr>
            <w:tcW w:w="2060" w:type="dxa"/>
            <w:vAlign w:val="bottom"/>
            <w:tcBorders>
              <w:right w:val="single" w:sz="8" w:color="auto"/>
            </w:tcBorders>
            <w:gridSpan w:val="5"/>
            <w:vMerge w:val="continue"/>
          </w:tcPr>
          <w:p>
            <w:pPr>
              <w:spacing w:after="0"/>
              <w:rPr>
                <w:sz w:val="9"/>
                <w:szCs w:val="9"/>
                <w:color w:val="auto"/>
              </w:rPr>
            </w:pPr>
          </w:p>
        </w:tc>
        <w:tc>
          <w:tcPr>
            <w:tcW w:w="100" w:type="dxa"/>
            <w:vAlign w:val="bottom"/>
          </w:tcPr>
          <w:p>
            <w:pPr>
              <w:spacing w:after="0"/>
              <w:rPr>
                <w:sz w:val="9"/>
                <w:szCs w:val="9"/>
                <w:color w:val="auto"/>
              </w:rPr>
            </w:pPr>
          </w:p>
        </w:tc>
        <w:tc>
          <w:tcPr>
            <w:tcW w:w="1440" w:type="dxa"/>
            <w:vAlign w:val="bottom"/>
            <w:tcBorders>
              <w:right w:val="single" w:sz="8" w:color="auto"/>
            </w:tcBorders>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0"/>
        </w:trPr>
        <w:tc>
          <w:tcPr>
            <w:tcW w:w="5440" w:type="dxa"/>
            <w:vAlign w:val="bottom"/>
            <w:tcBorders>
              <w:right w:val="single" w:sz="8" w:color="auto"/>
            </w:tcBorders>
            <w:vMerge w:val="continue"/>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20" w:type="dxa"/>
            <w:vAlign w:val="bottom"/>
            <w:tcBorders>
              <w:bottom w:val="single" w:sz="8" w:color="auto"/>
              <w:right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460" w:type="dxa"/>
            <w:vAlign w:val="bottom"/>
            <w:tcBorders>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right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right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0"/>
        </w:trPr>
        <w:tc>
          <w:tcPr>
            <w:tcW w:w="5440" w:type="dxa"/>
            <w:vAlign w:val="bottom"/>
            <w:tcBorders>
              <w:right w:val="single" w:sz="8" w:color="auto"/>
            </w:tcBorders>
            <w:vMerge w:val="continue"/>
          </w:tcPr>
          <w:p>
            <w:pPr>
              <w:spacing w:after="0"/>
              <w:rPr>
                <w:sz w:val="8"/>
                <w:szCs w:val="8"/>
                <w:color w:val="auto"/>
              </w:rPr>
            </w:pPr>
          </w:p>
        </w:tc>
        <w:tc>
          <w:tcPr>
            <w:tcW w:w="100" w:type="dxa"/>
            <w:vAlign w:val="bottom"/>
            <w:shd w:val="clear" w:color="auto" w:fill="DADADA"/>
          </w:tcPr>
          <w:p>
            <w:pPr>
              <w:spacing w:after="0"/>
              <w:rPr>
                <w:sz w:val="8"/>
                <w:szCs w:val="8"/>
                <w:color w:val="auto"/>
              </w:rPr>
            </w:pPr>
          </w:p>
        </w:tc>
        <w:tc>
          <w:tcPr>
            <w:tcW w:w="3460" w:type="dxa"/>
            <w:vAlign w:val="bottom"/>
            <w:gridSpan w:val="6"/>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highlight w:val="lightGray"/>
                <w:w w:val="99"/>
              </w:rPr>
              <w:t xml:space="preserve">Incidentele kosten die onder specifieke voorwaarden worden gemaakt</w:t>
            </w:r>
          </w:p>
        </w:tc>
        <w:tc>
          <w:tcPr>
            <w:tcW w:w="120" w:type="dxa"/>
            <w:vAlign w:val="bottom"/>
            <w:tcBorders>
              <w:right w:val="single" w:sz="8" w:color="auto"/>
            </w:tcBorders>
            <w:shd w:val="clear" w:color="auto" w:fill="DADADA"/>
          </w:tcPr>
          <w:p>
            <w:pPr>
              <w:spacing w:after="0"/>
              <w:rPr>
                <w:sz w:val="8"/>
                <w:szCs w:val="8"/>
                <w:color w:val="auto"/>
              </w:rPr>
            </w:pPr>
          </w:p>
        </w:tc>
        <w:tc>
          <w:tcPr>
            <w:tcW w:w="100" w:type="dxa"/>
            <w:vAlign w:val="bottom"/>
            <w:shd w:val="clear" w:color="auto" w:fill="DADADA"/>
          </w:tcPr>
          <w:p>
            <w:pPr>
              <w:spacing w:after="0"/>
              <w:rPr>
                <w:sz w:val="8"/>
                <w:szCs w:val="8"/>
                <w:color w:val="auto"/>
              </w:rPr>
            </w:pPr>
          </w:p>
        </w:tc>
        <w:tc>
          <w:tcPr>
            <w:tcW w:w="1440" w:type="dxa"/>
            <w:vAlign w:val="bottom"/>
            <w:tcBorders>
              <w:right w:val="single" w:sz="8" w:color="auto"/>
            </w:tcBorders>
            <w:shd w:val="clear" w:color="auto" w:fill="DADADA"/>
          </w:tcPr>
          <w:p>
            <w:pPr>
              <w:spacing w:after="0"/>
              <w:rPr>
                <w:sz w:val="8"/>
                <w:szCs w:val="8"/>
                <w:color w:val="auto"/>
              </w:rPr>
            </w:pPr>
          </w:p>
        </w:tc>
        <w:tc>
          <w:tcPr>
            <w:tcW w:w="0" w:type="dxa"/>
            <w:vAlign w:val="bottom"/>
          </w:tcPr>
          <w:p>
            <w:pPr>
              <w:spacing w:after="0"/>
              <w:rPr>
                <w:sz w:val="1"/>
                <w:szCs w:val="1"/>
                <w:color w:val="auto"/>
              </w:rPr>
            </w:pPr>
          </w:p>
        </w:tc>
      </w:tr>
      <w:tr>
        <w:trPr>
          <w:trHeight w:val="175"/>
        </w:trPr>
        <w:tc>
          <w:tcPr>
            <w:tcW w:w="5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kosten die belastingoverwegingen en transactiekosten omvatten</w:t>
            </w:r>
          </w:p>
        </w:tc>
        <w:tc>
          <w:tcPr>
            <w:tcW w:w="100" w:type="dxa"/>
            <w:vAlign w:val="bottom"/>
            <w:tcBorders>
              <w:bottom w:val="single" w:sz="8" w:color="auto"/>
            </w:tcBorders>
            <w:shd w:val="clear" w:color="auto" w:fill="DADADA"/>
          </w:tcPr>
          <w:p>
            <w:pPr>
              <w:spacing w:after="0"/>
              <w:rPr>
                <w:sz w:val="15"/>
                <w:szCs w:val="15"/>
                <w:color w:val="auto"/>
              </w:rPr>
            </w:pPr>
          </w:p>
        </w:tc>
        <w:tc>
          <w:tcPr>
            <w:tcW w:w="3460" w:type="dxa"/>
            <w:vAlign w:val="bottom"/>
            <w:tcBorders>
              <w:bottom w:val="single" w:sz="8" w:color="auto"/>
            </w:tcBorders>
            <w:gridSpan w:val="6"/>
            <w:vMerge w:val="continue"/>
            <w:shd w:val="clear" w:color="auto" w:fill="DADADA"/>
          </w:tcPr>
          <w:p>
            <w:pPr>
              <w:spacing w:after="0"/>
              <w:rPr>
                <w:sz w:val="15"/>
                <w:szCs w:val="15"/>
                <w:color w:val="auto"/>
              </w:rPr>
            </w:pPr>
          </w:p>
        </w:tc>
        <w:tc>
          <w:tcPr>
            <w:tcW w:w="120" w:type="dxa"/>
            <w:vAlign w:val="bottom"/>
            <w:tcBorders>
              <w:bottom w:val="single" w:sz="8" w:color="auto"/>
              <w:right w:val="single" w:sz="8" w:color="auto"/>
            </w:tcBorders>
            <w:shd w:val="clear" w:color="auto" w:fill="DADADA"/>
          </w:tcPr>
          <w:p>
            <w:pPr>
              <w:spacing w:after="0"/>
              <w:rPr>
                <w:sz w:val="15"/>
                <w:szCs w:val="15"/>
                <w:color w:val="auto"/>
              </w:rPr>
            </w:pPr>
          </w:p>
        </w:tc>
        <w:tc>
          <w:tcPr>
            <w:tcW w:w="100" w:type="dxa"/>
            <w:vAlign w:val="bottom"/>
            <w:tcBorders>
              <w:bottom w:val="single" w:sz="8" w:color="auto"/>
            </w:tcBorders>
            <w:shd w:val="clear" w:color="auto" w:fill="DADADA"/>
          </w:tcPr>
          <w:p>
            <w:pPr>
              <w:spacing w:after="0"/>
              <w:rPr>
                <w:sz w:val="15"/>
                <w:szCs w:val="15"/>
                <w:color w:val="auto"/>
              </w:rPr>
            </w:pPr>
          </w:p>
        </w:tc>
        <w:tc>
          <w:tcPr>
            <w:tcW w:w="1440" w:type="dxa"/>
            <w:vAlign w:val="bottom"/>
            <w:tcBorders>
              <w:bottom w:val="single" w:sz="8" w:color="auto"/>
              <w:right w:val="single" w:sz="8" w:color="auto"/>
            </w:tcBorders>
            <w:shd w:val="clear" w:color="auto" w:fill="DADADA"/>
          </w:tcPr>
          <w:p>
            <w:pPr>
              <w:spacing w:after="0"/>
              <w:rPr>
                <w:sz w:val="15"/>
                <w:szCs w:val="15"/>
                <w:color w:val="auto"/>
              </w:rPr>
            </w:pPr>
          </w:p>
        </w:tc>
        <w:tc>
          <w:tcPr>
            <w:tcW w:w="0" w:type="dxa"/>
            <w:vAlign w:val="bottom"/>
          </w:tcPr>
          <w:p>
            <w:pPr>
              <w:spacing w:after="0"/>
              <w:rPr>
                <w:sz w:val="1"/>
                <w:szCs w:val="1"/>
                <w:color w:val="auto"/>
              </w:rPr>
            </w:pPr>
          </w:p>
        </w:tc>
      </w:tr>
      <w:tr>
        <w:trPr>
          <w:trHeight w:val="74"/>
        </w:trPr>
        <w:tc>
          <w:tcPr>
            <w:tcW w:w="5440" w:type="dxa"/>
            <w:vAlign w:val="bottom"/>
            <w:tcBorders>
              <w:right w:val="single" w:sz="8" w:color="auto"/>
            </w:tcBorders>
            <w:vMerge w:val="continue"/>
          </w:tcPr>
          <w:p>
            <w:pPr>
              <w:spacing w:after="0"/>
              <w:rPr>
                <w:sz w:val="6"/>
                <w:szCs w:val="6"/>
                <w:color w:val="auto"/>
              </w:rPr>
            </w:pPr>
          </w:p>
        </w:tc>
        <w:tc>
          <w:tcPr>
            <w:tcW w:w="100" w:type="dxa"/>
            <w:vAlign w:val="bottom"/>
          </w:tcPr>
          <w:p>
            <w:pPr>
              <w:spacing w:after="0"/>
              <w:rPr>
                <w:sz w:val="6"/>
                <w:szCs w:val="6"/>
                <w:color w:val="auto"/>
              </w:rPr>
            </w:pPr>
          </w:p>
        </w:tc>
        <w:tc>
          <w:tcPr>
            <w:tcW w:w="142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Prestatievergoedingen</w:t>
            </w:r>
          </w:p>
        </w:tc>
        <w:tc>
          <w:tcPr>
            <w:tcW w:w="100" w:type="dxa"/>
            <w:vAlign w:val="bottom"/>
          </w:tcPr>
          <w:p>
            <w:pPr>
              <w:spacing w:after="0"/>
              <w:rPr>
                <w:sz w:val="6"/>
                <w:szCs w:val="6"/>
                <w:color w:val="auto"/>
              </w:rPr>
            </w:pPr>
          </w:p>
        </w:tc>
        <w:tc>
          <w:tcPr>
            <w:tcW w:w="206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Geen</w:t>
            </w:r>
          </w:p>
        </w:tc>
        <w:tc>
          <w:tcPr>
            <w:tcW w:w="100" w:type="dxa"/>
            <w:vAlign w:val="bottom"/>
          </w:tcPr>
          <w:p>
            <w:pPr>
              <w:spacing w:after="0"/>
              <w:rPr>
                <w:sz w:val="6"/>
                <w:szCs w:val="6"/>
                <w:color w:val="auto"/>
              </w:rPr>
            </w:pPr>
          </w:p>
        </w:tc>
        <w:tc>
          <w:tcPr>
            <w:tcW w:w="1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N.v.t.</w:t>
            </w:r>
          </w:p>
        </w:tc>
        <w:tc>
          <w:tcPr>
            <w:tcW w:w="0" w:type="dxa"/>
            <w:vAlign w:val="bottom"/>
          </w:tcPr>
          <w:p>
            <w:pPr>
              <w:spacing w:after="0"/>
              <w:rPr>
                <w:sz w:val="1"/>
                <w:szCs w:val="1"/>
                <w:color w:val="auto"/>
              </w:rPr>
            </w:pPr>
          </w:p>
        </w:tc>
      </w:tr>
      <w:tr>
        <w:trPr>
          <w:trHeight w:val="216"/>
        </w:trPr>
        <w:tc>
          <w:tcPr>
            <w:tcW w:w="5440" w:type="dxa"/>
            <w:vAlign w:val="bottom"/>
            <w:tcBorders>
              <w:right w:val="single" w:sz="8" w:color="auto"/>
            </w:tcBorders>
          </w:tcPr>
          <w:p>
            <w:pPr xmlns:w="http://schemas.openxmlformats.org/wordprocessingml/2006/main">
              <w:spacing w:after="0" w:line="216" w:lineRule="exact"/>
              <w:rPr>
                <w:sz w:val="20"/>
                <w:szCs w:val="20"/>
                <w:color w:val="auto"/>
              </w:rPr>
            </w:pPr>
            <w:r>
              <w:rPr xmlns:w="http://schemas.openxmlformats.org/wordprocessingml/2006/main">
                <w:rFonts w:ascii="Calibri" w:cs="Calibri" w:eastAsia="Calibri" w:hAnsi="Calibri"/>
                <w:sz w:val="22"/>
                <w:szCs w:val="22"/>
                <w:color w:val="auto"/>
              </w:rPr>
              <w:t xml:space="preserve">en margevereisten die een aanzienlijke invloed kunnen hebben op</w:t>
            </w:r>
          </w:p>
        </w:tc>
        <w:tc>
          <w:tcPr>
            <w:tcW w:w="100" w:type="dxa"/>
            <w:vAlign w:val="bottom"/>
            <w:tcBorders>
              <w:bottom w:val="single" w:sz="8" w:color="auto"/>
            </w:tcBorders>
          </w:tcPr>
          <w:p>
            <w:pPr>
              <w:spacing w:after="0"/>
              <w:rPr>
                <w:sz w:val="18"/>
                <w:szCs w:val="18"/>
                <w:color w:val="auto"/>
              </w:rPr>
            </w:pPr>
          </w:p>
        </w:tc>
        <w:tc>
          <w:tcPr>
            <w:tcW w:w="1420" w:type="dxa"/>
            <w:vAlign w:val="bottom"/>
            <w:tcBorders>
              <w:bottom w:val="single" w:sz="8" w:color="auto"/>
              <w:right w:val="single" w:sz="8" w:color="auto"/>
            </w:tcBorders>
            <w:vMerge w:val="continue"/>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2060" w:type="dxa"/>
            <w:vAlign w:val="bottom"/>
            <w:tcBorders>
              <w:bottom w:val="single" w:sz="8" w:color="auto"/>
              <w:right w:val="single" w:sz="8" w:color="auto"/>
            </w:tcBorders>
            <w:gridSpan w:val="5"/>
            <w:vMerge w:val="continue"/>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1440" w:type="dxa"/>
            <w:vAlign w:val="bottom"/>
            <w:tcBorders>
              <w:bottom w:val="single" w:sz="8" w:color="auto"/>
              <w:right w:val="single" w:sz="8" w:color="auto"/>
            </w:tcBorders>
            <w:vMerge w:val="continue"/>
          </w:tcPr>
          <w:p>
            <w:pPr>
              <w:spacing w:after="0"/>
              <w:rPr>
                <w:sz w:val="18"/>
                <w:szCs w:val="18"/>
                <w:color w:val="auto"/>
              </w:rPr>
            </w:pPr>
          </w:p>
        </w:tc>
        <w:tc>
          <w:tcPr>
            <w:tcW w:w="0" w:type="dxa"/>
            <w:vAlign w:val="bottom"/>
          </w:tcPr>
          <w:p>
            <w:pPr>
              <w:spacing w:after="0"/>
              <w:rPr>
                <w:sz w:val="1"/>
                <w:szCs w:val="1"/>
                <w:color w:val="auto"/>
              </w:rPr>
            </w:pPr>
          </w:p>
        </w:tc>
      </w:tr>
    </w:tbl>
    <w:p>
      <w:pPr>
        <w:spacing w:after="0" w:line="100" w:lineRule="exact"/>
        <w:rPr>
          <w:sz w:val="20"/>
          <w:szCs w:val="20"/>
          <w:color w:val="auto"/>
        </w:rPr>
      </w:pPr>
    </w:p>
    <w:p>
      <w:pPr xmlns:w="http://schemas.openxmlformats.org/wordprocessingml/2006/main">
        <w:ind w:left="220" w:right="140"/>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winst of verlies.</w:t>
      </w:r>
      <w:r>
        <w:rPr xmlns:w="http://schemas.openxmlformats.org/wordprocessingml/2006/main">
          <w:rFonts w:ascii="Calibri" w:cs="Calibri" w:eastAsia="Calibri" w:hAnsi="Calibri"/>
          <w:sz w:val="22"/>
          <w:szCs w:val="22"/>
          <w:color w:val="auto"/>
        </w:rPr>
        <w:t xml:space="preserve"> Transactiekosten bestaan voornamelijk uit commissies, maar kunnen ook marge- en rentekosten omvatten.</w:t>
      </w:r>
      <w:r>
        <w:rPr xmlns:w="http://schemas.openxmlformats.org/wordprocessingml/2006/main">
          <w:rFonts w:ascii="Calibri" w:cs="Calibri" w:eastAsia="Calibri" w:hAnsi="Calibri"/>
          <w:sz w:val="22"/>
          <w:szCs w:val="22"/>
          <w:color w:val="auto"/>
        </w:rPr>
        <w:t xml:space="preserve"> Als een belegger een positie in het kader van een indexfutures-contract liquideert, kan dit extra kosten met zich meebrengen.</w:t>
      </w:r>
      <w:r>
        <w:rPr xmlns:w="http://schemas.openxmlformats.org/wordprocessingml/2006/main">
          <w:rFonts w:ascii="Calibri" w:cs="Calibri" w:eastAsia="Calibri" w:hAnsi="Calibri"/>
          <w:sz w:val="22"/>
          <w:szCs w:val="22"/>
          <w:color w:val="auto"/>
        </w:rPr>
        <w:t xml:space="preserve"> Afgezien van de kosten van de belegger, brengt OCC gerelateerde kosten in rekening voor de clearing van dit product aan haar clearingleden, maar niet rechtstreeks aan u: </w:t>
      </w:r>
      <w:r>
        <w:rPr xmlns:w="http://schemas.openxmlformats.org/wordprocessingml/2006/main">
          <w:rFonts w:ascii="Calibri" w:cs="Calibri" w:eastAsia="Calibri" w:hAnsi="Calibri"/>
          <w:sz w:val="22"/>
          <w:szCs w:val="22"/>
          <w:u w:val="single" w:color="auto"/>
          <w:color w:val="0563C1"/>
        </w:rPr>
        <w:t xml:space="preserve">https://www.theocc.com/company-information/schedule-of-fees</w:t>
      </w:r>
      <w:r>
        <w:rPr xmlns:w="http://schemas.openxmlformats.org/wordprocessingml/2006/main">
          <w:rFonts w:ascii="Calibri" w:cs="Calibri" w:eastAsia="Calibri" w:hAnsi="Calibri"/>
          <w:sz w:val="22"/>
          <w:szCs w:val="22"/>
          <w:color w:val="000000"/>
        </w:rPr>
        <w:t xml:space="preserve">.</w:t>
      </w:r>
    </w:p>
    <w:p>
      <w:pPr>
        <w:spacing w:after="0" w:line="11" w:lineRule="exact"/>
        <w:rPr>
          <w:sz w:val="20"/>
          <w:szCs w:val="20"/>
          <w:color w:val="auto"/>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Hoe lang moet ik het bewaren en kan ik een transactie vroegtijdig afsluiten (kan ik geld vroegtijdig afsluiten)?</w:t>
      </w:r>
    </w:p>
    <w:p>
      <w:pPr>
        <w:spacing w:after="0" w:line="67" w:lineRule="exact"/>
        <w:rPr>
          <w:sz w:val="20"/>
          <w:szCs w:val="20"/>
          <w:color w:val="auto"/>
        </w:rPr>
      </w:pPr>
    </w:p>
    <w:p>
      <w:pPr xmlns:w="http://schemas.openxmlformats.org/wordprocessingml/2006/main">
        <w:ind w:left="220" w:right="80"/>
        <w:spacing w:after="0" w:line="227"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Aanbevolen wachttijd: Geen.</w:t>
      </w:r>
      <w:r>
        <w:rPr xmlns:w="http://schemas.openxmlformats.org/wordprocessingml/2006/main">
          <w:rFonts w:ascii="Calibri" w:cs="Calibri" w:eastAsia="Calibri" w:hAnsi="Calibri"/>
          <w:sz w:val="22"/>
          <w:szCs w:val="22"/>
          <w:color w:val="auto"/>
        </w:rPr>
        <w:t xml:space="preserve"> Beleggers zijn als enige verantwoordelijk voor het bepalen of en wanneer zij een termijnpositie in de index moeten sluiten of een positie moeten aanhouden tot de vervaldag ervan.</w:t>
      </w:r>
      <w:r>
        <w:rPr xmlns:w="http://schemas.openxmlformats.org/wordprocessingml/2006/main">
          <w:rFonts w:ascii="Calibri" w:cs="Calibri" w:eastAsia="Calibri" w:hAnsi="Calibri"/>
          <w:sz w:val="22"/>
          <w:szCs w:val="22"/>
          <w:color w:val="auto"/>
        </w:rPr>
        <w:t xml:space="preserve"> Beleggers die een index futures-positie sluiten, zien af van elke latere winst of verlies die met de positie verband houdt.</w:t>
      </w:r>
      <w:r>
        <w:rPr xmlns:w="http://schemas.openxmlformats.org/wordprocessingml/2006/main">
          <w:rFonts w:ascii="Calibri" w:cs="Calibri" w:eastAsia="Calibri" w:hAnsi="Calibri"/>
          <w:sz w:val="22"/>
          <w:szCs w:val="22"/>
          <w:color w:val="auto"/>
        </w:rPr>
        <w:t xml:space="preserve"> Alle indexfutures hebben een vervaldatum, waarna het contract ophoudt te bestaan.</w:t>
      </w:r>
      <w:r>
        <w:rPr xmlns:w="http://schemas.openxmlformats.org/wordprocessingml/2006/main">
          <w:rFonts w:ascii="Calibri" w:cs="Calibri" w:eastAsia="Calibri" w:hAnsi="Calibri"/>
          <w:sz w:val="22"/>
          <w:szCs w:val="22"/>
          <w:color w:val="auto"/>
        </w:rPr>
        <w:t xml:space="preserve"> Een belegger kan een open positie in een index futures contract sluiten door het aangaan van een compenserende transactie voorafgaand aan de looptijd van het contract.</w:t>
      </w:r>
    </w:p>
    <w:p>
      <w:pPr>
        <w:spacing w:after="0" w:line="81" w:lineRule="exact"/>
        <w:rPr>
          <w:sz w:val="20"/>
          <w:szCs w:val="20"/>
          <w:color w:val="auto"/>
        </w:rPr>
      </w:pPr>
    </w:p>
    <w:p>
      <w:pPr xmlns:w="http://schemas.openxmlformats.org/wordprocessingml/2006/main">
        <w:ind w:left="220" w:right="140"/>
        <w:spacing w:after="0" w:line="22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Hoe kan ik klagen?</w:t>
      </w:r>
      <w:r>
        <w:rPr xmlns:w="http://schemas.openxmlformats.org/wordprocessingml/2006/main">
          <w:rFonts w:ascii="Calibri" w:cs="Calibri" w:eastAsia="Calibri" w:hAnsi="Calibri"/>
          <w:sz w:val="22"/>
          <w:szCs w:val="22"/>
          <w:color w:val="auto"/>
        </w:rPr>
        <w:t xml:space="preserve"> Beleggers kunnen contact opnemen met OCC via </w:t>
      </w:r>
      <w:r>
        <w:rPr xmlns:w="http://schemas.openxmlformats.org/wordprocessingml/2006/main">
          <w:rFonts w:ascii="Calibri" w:cs="Calibri" w:eastAsia="Calibri" w:hAnsi="Calibri"/>
          <w:sz w:val="22"/>
          <w:szCs w:val="22"/>
          <w:u w:val="single" w:color="auto"/>
          <w:color w:val="0563C1"/>
        </w:rPr>
        <w:t xml:space="preserve">investorservices@theocc.com</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Beleggers kunnen ook een klacht indienen bij de NFA (</w:t>
      </w:r>
      <w:r>
        <w:rPr xmlns:w="http://schemas.openxmlformats.org/wordprocessingml/2006/main">
          <w:rFonts w:ascii="Calibri" w:cs="Calibri" w:eastAsia="Calibri" w:hAnsi="Calibri"/>
          <w:sz w:val="22"/>
          <w:szCs w:val="22"/>
          <w:u w:val="single" w:color="auto"/>
          <w:color w:val="0563C1"/>
        </w:rPr>
        <w:t xml:space="preserve">https://www.nfa.futures.org/basicnet/complaint.aspx</w:t>
      </w:r>
      <w:r>
        <w:rPr xmlns:w="http://schemas.openxmlformats.org/wordprocessingml/2006/main">
          <w:rFonts w:ascii="Calibri" w:cs="Calibri" w:eastAsia="Calibri" w:hAnsi="Calibri"/>
          <w:sz w:val="22"/>
          <w:szCs w:val="22"/>
          <w:color w:val="auto"/>
        </w:rPr>
        <w:t xml:space="preserve">) of de CFTC (</w:t>
      </w:r>
      <w:r>
        <w:rPr xmlns:w="http://schemas.openxmlformats.org/wordprocessingml/2006/main">
          <w:rFonts w:ascii="Calibri" w:cs="Calibri" w:eastAsia="Calibri" w:hAnsi="Calibri"/>
          <w:sz w:val="22"/>
          <w:szCs w:val="22"/>
          <w:u w:val="single" w:color="auto"/>
          <w:color w:val="0563C1"/>
        </w:rPr>
        <w:t xml:space="preserve">http://www.cftc.gov/ConsumerProtection/FileaTiporComplaint/index.htm</w:t>
      </w:r>
      <w:r>
        <w:rPr xmlns:w="http://schemas.openxmlformats.org/wordprocessingml/2006/main">
          <w:rFonts w:ascii="Calibri" w:cs="Calibri" w:eastAsia="Calibri" w:hAnsi="Calibri"/>
          <w:sz w:val="22"/>
          <w:szCs w:val="22"/>
          <w:color w:val="auto"/>
        </w:rPr>
        <w:t xml:space="preserve">).</w:t>
      </w:r>
    </w:p>
    <w:p>
      <w:pPr>
        <w:sectPr>
          <w:pgSz w:w="12240" w:h="15840" w:orient="portrait"/>
          <w:cols w:equalWidth="0" w:num="1">
            <w:col w:w="10860"/>
          </w:cols>
          <w:pgMar w:left="720" w:top="774" w:right="660" w:bottom="590" w:gutter="0" w:footer="0" w:header="0"/>
        </w:sectPr>
      </w:pPr>
    </w:p>
    <w:p>
      <w:pPr>
        <w:spacing w:after="0" w:line="5" w:lineRule="exact"/>
        <w:rPr>
          <w:sz w:val="20"/>
          <w:szCs w:val="20"/>
          <w:color w:val="auto"/>
        </w:rPr>
      </w:pPr>
    </w:p>
    <w:p>
      <w:pPr xmlns:w="http://schemas.openxmlformats.org/wordprocessingml/2006/main">
        <w:ind w:left="340"/>
        <w:spacing w:after="0"/>
        <w:rPr>
          <w:sz w:val="20"/>
          <w:szCs w:val="20"/>
          <w:color w:val="auto"/>
        </w:rPr>
      </w:pPr>
      <w:r>
        <w:rPr xmlns:w="http://schemas.openxmlformats.org/wordprocessingml/2006/main">
          <w:rFonts w:ascii="Calibri" w:cs="Calibri" w:eastAsia="Calibri" w:hAnsi="Calibri"/>
          <w:sz w:val="20"/>
          <w:szCs w:val="20"/>
          <w:color w:val="auto"/>
        </w:rPr>
        <w:t xml:space="preserve">nationale futuresvereniging</w:t>
      </w:r>
    </w:p>
    <w:p>
      <w:pPr>
        <w:spacing w:after="0" w:line="1" w:lineRule="exact"/>
        <w:rPr>
          <w:sz w:val="20"/>
          <w:szCs w:val="20"/>
          <w:color w:val="auto"/>
        </w:rPr>
      </w:pPr>
    </w:p>
    <w:p>
      <w:pPr xmlns:w="http://schemas.openxmlformats.org/wordprocessingml/2006/main">
        <w:ind w:left="340"/>
        <w:spacing w:after="0"/>
        <w:rPr>
          <w:sz w:val="20"/>
          <w:szCs w:val="20"/>
          <w:color w:val="auto"/>
        </w:rPr>
      </w:pPr>
      <w:r>
        <w:rPr xmlns:w="http://schemas.openxmlformats.org/wordprocessingml/2006/main">
          <w:rFonts w:ascii="Calibri" w:cs="Calibri" w:eastAsia="Calibri" w:hAnsi="Calibri"/>
          <w:sz w:val="20"/>
          <w:szCs w:val="20"/>
          <w:color w:val="auto"/>
        </w:rPr>
        <w:t xml:space="preserve">300 S. Riverside Plaza, #1800</w:t>
      </w:r>
    </w:p>
    <w:p>
      <w:pPr xmlns:w="http://schemas.openxmlformats.org/wordprocessingml/2006/main">
        <w:ind w:left="340"/>
        <w:spacing w:after="0" w:line="238" w:lineRule="auto"/>
        <w:rPr>
          <w:sz w:val="20"/>
          <w:szCs w:val="20"/>
          <w:color w:val="auto"/>
        </w:rPr>
      </w:pPr>
      <w:r>
        <w:rPr xmlns:w="http://schemas.openxmlformats.org/wordprocessingml/2006/main">
          <w:rFonts w:ascii="Calibri" w:cs="Calibri" w:eastAsia="Calibri" w:hAnsi="Calibri"/>
          <w:sz w:val="20"/>
          <w:szCs w:val="20"/>
          <w:color w:val="auto"/>
        </w:rPr>
        <w:t xml:space="preserve">Chicago, IL 60606-6615</w:t>
      </w:r>
    </w:p>
    <w:p>
      <w:pPr>
        <w:spacing w:after="0" w:line="13" w:lineRule="exact"/>
        <w:rPr>
          <w:sz w:val="20"/>
          <w:szCs w:val="20"/>
          <w:color w:val="auto"/>
        </w:rPr>
      </w:pPr>
    </w:p>
    <w:p>
      <w:pPr xmlns:w="http://schemas.openxmlformats.org/wordprocessingml/2006/main">
        <w:ind w:left="340"/>
        <w:spacing w:after="0"/>
        <w:rPr>
          <w:sz w:val="20"/>
          <w:szCs w:val="20"/>
          <w:color w:val="auto"/>
        </w:rPr>
      </w:pPr>
      <w:r>
        <w:rPr xmlns:w="http://schemas.openxmlformats.org/wordprocessingml/2006/main">
          <w:rFonts w:ascii="Calibri" w:cs="Calibri" w:eastAsia="Calibri" w:hAnsi="Calibri"/>
          <w:sz w:val="19"/>
          <w:szCs w:val="19"/>
          <w:color w:val="auto"/>
        </w:rPr>
        <w:t xml:space="preserve">Telefoon: 312-781-1300 Fax: 312-781-1467</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9"/>
          <w:szCs w:val="19"/>
          <w:color w:val="auto"/>
        </w:rPr>
        <w:t xml:space="preserve">Amerikaanse Commodity Futures Trading Commission</w:t>
      </w:r>
    </w:p>
    <w:p>
      <w:pPr>
        <w:spacing w:after="0" w:line="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color w:val="auto"/>
        </w:rPr>
        <w:t xml:space="preserve">Activiteiten in de omgeving van Three Lafayette Center</w:t>
      </w:r>
    </w:p>
    <w:p>
      <w:pPr xmlns:w="http://schemas.openxmlformats.org/wordprocessingml/2006/main">
        <w:spacing w:after="0" w:line="238" w:lineRule="auto"/>
        <w:rPr>
          <w:sz w:val="20"/>
          <w:szCs w:val="20"/>
          <w:color w:val="auto"/>
        </w:rPr>
      </w:pPr>
      <w:r>
        <w:rPr xmlns:w="http://schemas.openxmlformats.org/wordprocessingml/2006/main">
          <w:rFonts w:ascii="Calibri" w:cs="Calibri" w:eastAsia="Calibri" w:hAnsi="Calibri"/>
          <w:sz w:val="20"/>
          <w:szCs w:val="20"/>
          <w:color w:val="auto"/>
        </w:rPr>
        <w:t xml:space="preserve">1155 21st Street, NW</w:t>
      </w:r>
    </w:p>
    <w:p>
      <w:pPr>
        <w:spacing w:after="0" w:line="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color w:val="auto"/>
        </w:rPr>
        <w:t xml:space="preserve">Washington, DC 20581</w:t>
      </w:r>
    </w:p>
    <w:p>
      <w:pPr>
        <w:spacing w:after="0" w:line="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color w:val="auto"/>
        </w:rPr>
        <w:t xml:space="preserve">Telefoon: 866-366-2382 Fax: 202-418-5521</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-2798445</wp:posOffset>
                </wp:positionH>
                <wp:positionV relativeFrom="paragraph">
                  <wp:posOffset>14605</wp:posOffset>
                </wp:positionV>
                <wp:extent cx="6903085" cy="0"/>
                <wp:wrapNone/>
                <wp:docPr id="35" name="Shape 3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90308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35" o:spid="_x0000_s106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20.3499pt,1.15pt" to="323.2pt,1.15pt" o:allowincell="f" strokecolor="#000000" strokeweight="0.4799pt"/>
            </w:pict>
          </mc:Fallback>
        </mc:AlternateContent>
      </w:r>
    </w:p>
    <w:p>
      <w:pPr>
        <w:spacing w:after="0" w:line="7" w:lineRule="exact"/>
        <w:rPr>
          <w:sz w:val="20"/>
          <w:szCs w:val="20"/>
          <w:color w:val="auto"/>
        </w:rPr>
      </w:pPr>
    </w:p>
    <w:p>
      <w:pPr>
        <w:sectPr>
          <w:pgSz w:w="12240" w:h="15840" w:orient="portrait"/>
          <w:cols w:equalWidth="0" w:num="2">
            <w:col w:w="3800" w:space="720"/>
            <w:col w:w="6340"/>
          </w:cols>
          <w:pgMar w:left="720" w:top="774" w:right="660" w:bottom="590" w:gutter="0" w:footer="0" w:header="0"/>
          <w:type w:val="continuous"/>
        </w:sect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©2023 The Options Clearing Corporation.</w:t>
      </w:r>
      <w:r>
        <w:rPr xmlns:w="http://schemas.openxmlformats.org/wordprocessingml/2006/main">
          <w:rFonts w:ascii="Calibri" w:cs="Calibri" w:eastAsia="Calibri" w:hAnsi="Calibri"/>
          <w:sz w:val="22"/>
          <w:szCs w:val="22"/>
          <w:color w:val="auto"/>
        </w:rPr>
        <w:t xml:space="preserve"> Alle rechten voorbehouden.</w:t>
      </w:r>
    </w:p>
    <w:sectPr>
      <w:pgSz w:w="12240" w:h="15840" w:orient="portrait"/>
      <w:cols w:equalWidth="0" w:num="1">
        <w:col w:w="10860"/>
      </w:cols>
      <w:pgMar w:left="720" w:top="774" w:right="660" w:bottom="59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auto"/>
    <w:pitch w:val="variable"/>
    <w:sig w:usb0="00000000" w:usb1="00000000" w:usb2="00000000" w:usb3="00000000" w:csb0="80000000" w:csb1="00000000"/>
  </w:font>
</w:fonts>
</file>

<file path=word/numbering.xml><?xml version="1.0" encoding="utf-8"?>
<w:numbering xmlns:w="http://schemas.openxmlformats.org/wordprocessingml/2006/main">
  <w:abstractNum w:abstractNumId="0">
    <w:nsid w:val="6260F9C1"/>
    <w:multiLevelType w:val="hybridMultilevel"/>
    <w:lvl w:ilvl="0">
      <w:lvlJc w:val="left"/>
      <w:lvlText w:val="·"/>
      <w:numFmt w:val="bullet"/>
      <w:start w:val="1"/>
    </w:lvl>
  </w:abstractNum>
  <w:abstractNum w:abstractNumId="1">
    <w:nsid w:val="9B717FE"/>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2024-06-24T10:15:08Z</dcterms:created>
  <dcterms:modified xsi:type="dcterms:W3CDTF">2024-06-24T10:15:08Z</dcterms:modified>
</cp:coreProperties>
</file>