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98"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2971800</wp:posOffset>
            </wp:positionH>
            <wp:positionV relativeFrom="page">
              <wp:posOffset>170815</wp:posOffset>
            </wp:positionV>
            <wp:extent cx="1487170" cy="7969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487170" cy="796925"/>
                    </a:xfrm>
                    <a:prstGeom prst="rect">
                      <a:avLst/>
                    </a:prstGeom>
                    <a:noFill/>
                  </pic:spPr>
                </pic:pic>
              </a:graphicData>
            </a:graphic>
          </wp:anchor>
        </w:drawing>
      </w:r>
    </w:p>
    <w:p>
      <w:pPr xmlns:w="http://schemas.openxmlformats.org/wordprocessingml/2006/main">
        <w:jc w:val="center"/>
        <w:ind w:right="14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Βασικές πληροφορίες για τους επενδυτές</w:t>
      </w:r>
    </w:p>
    <w:p>
      <w:pPr>
        <w:spacing w:after="0" w:line="8" w:lineRule="exact"/>
        <w:rPr>
          <w:sz w:val="24"/>
          <w:szCs w:val="24"/>
          <w:color w:val="auto"/>
        </w:rPr>
      </w:pPr>
    </w:p>
    <w:p>
      <w:pPr xmlns:w="http://schemas.openxmlformats.org/wordprocessingml/2006/main">
        <w:jc w:val="center"/>
        <w:ind w:left="120" w:right="260"/>
        <w:spacing w:after="0" w:line="237" w:lineRule="auto"/>
        <w:rPr>
          <w:sz w:val="20"/>
          <w:szCs w:val="20"/>
          <w:color w:val="auto"/>
        </w:rPr>
      </w:pPr>
      <w:r>
        <w:rPr xmlns:w="http://schemas.openxmlformats.org/wordprocessingml/2006/main">
          <w:rFonts w:ascii="Arial" w:cs="Arial" w:eastAsia="Arial" w:hAnsi="Arial"/>
          <w:sz w:val="15"/>
          <w:szCs w:val="15"/>
          <w:b w:val="1"/>
          <w:bCs w:val="1"/>
          <w:color w:val="auto"/>
        </w:rPr>
        <w:t xml:space="preserve">Αυτό το έγγραφο σας παρέχει βασικές πληροφορίες για τους επενδυτές σχετικά με αυτό το ταμείο.</w:t>
      </w:r>
      <w:r>
        <w:rPr xmlns:w="http://schemas.openxmlformats.org/wordprocessingml/2006/main">
          <w:rFonts w:ascii="Arial" w:cs="Arial" w:eastAsia="Arial" w:hAnsi="Arial"/>
          <w:sz w:val="15"/>
          <w:szCs w:val="15"/>
          <w:b w:val="1"/>
          <w:bCs w:val="1"/>
          <w:color w:val="auto"/>
        </w:rPr>
        <w:t xml:space="preserve"> Δεν είναι υλικό μάρκετινγκ.</w:t>
      </w:r>
      <w:r>
        <w:rPr xmlns:w="http://schemas.openxmlformats.org/wordprocessingml/2006/main">
          <w:rFonts w:ascii="Arial" w:cs="Arial" w:eastAsia="Arial" w:hAnsi="Arial"/>
          <w:sz w:val="15"/>
          <w:szCs w:val="15"/>
          <w:b w:val="1"/>
          <w:bCs w:val="1"/>
          <w:color w:val="auto"/>
        </w:rPr>
        <w:t xml:space="preserve"> Οι πληροφορίες απαιτούνται από το νόμο για να σας βοηθήσει να καταλάβετε τη φύση και τους κινδύνους της επένδυσης σε αυτό το ταμείο.</w:t>
      </w:r>
      <w:r>
        <w:rPr xmlns:w="http://schemas.openxmlformats.org/wordprocessingml/2006/main">
          <w:rFonts w:ascii="Arial" w:cs="Arial" w:eastAsia="Arial" w:hAnsi="Arial"/>
          <w:sz w:val="15"/>
          <w:szCs w:val="15"/>
          <w:b w:val="1"/>
          <w:bCs w:val="1"/>
          <w:color w:val="auto"/>
        </w:rPr>
        <w:t xml:space="preserve"> Σας συμβουλεύουμε να το διαβάσετε, ώστε να μπορείτε να πάρετε μια τεκμηριωμένη απόφαση για το αν θα επενδύσετε.</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71120</wp:posOffset>
            </wp:positionH>
            <wp:positionV relativeFrom="paragraph">
              <wp:posOffset>118745</wp:posOffset>
            </wp:positionV>
            <wp:extent cx="6009005" cy="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009005" cy="6350"/>
                    </a:xfrm>
                    <a:prstGeom prst="rect">
                      <a:avLst/>
                    </a:prstGeom>
                    <a:noFill/>
                  </pic:spPr>
                </pic:pic>
              </a:graphicData>
            </a:graphic>
          </wp:anchor>
        </w:drawing>
      </w:r>
    </w:p>
    <w:p>
      <w:pPr>
        <w:spacing w:after="0" w:line="176" w:lineRule="exact"/>
        <w:rPr>
          <w:sz w:val="24"/>
          <w:szCs w:val="24"/>
          <w:color w:val="auto"/>
        </w:rPr>
      </w:pPr>
    </w:p>
    <w:p>
      <w:pPr xmlns:w="http://schemas.openxmlformats.org/wordprocessingml/2006/main">
        <w:ind w:left="220"/>
        <w:spacing w:after="0"/>
        <w:tabs>
          <w:tab w:leader="none" w:pos="7940" w:val="left"/>
        </w:tabs>
        <w:rPr>
          <w:sz w:val="20"/>
          <w:szCs w:val="20"/>
          <w:color w:val="auto"/>
        </w:rPr>
      </w:pPr>
      <w:r>
        <w:rPr xmlns:w="http://schemas.openxmlformats.org/wordprocessingml/2006/main">
          <w:rFonts w:ascii="Arial" w:cs="Arial" w:eastAsia="Arial" w:hAnsi="Arial"/>
          <w:sz w:val="21"/>
          <w:szCs w:val="21"/>
          <w:b w:val="1"/>
          <w:bCs w:val="1"/>
          <w:color w:val="auto"/>
        </w:rPr>
        <w:t xml:space="preserve">Sprott Uranium Miners ΟΣΕΚΑ ETF (το Ταμείο) - Συσσωρευμένη κατηγορία μετοχών ETF</w:t>
        <w:tab xmlns:w="http://schemas.openxmlformats.org/wordprocessingml/2006/main"/>
      </w:r>
      <w:r>
        <w:rPr xmlns:w="http://schemas.openxmlformats.org/wordprocessingml/2006/main">
          <w:rFonts w:ascii="Arial" w:cs="Arial" w:eastAsia="Arial" w:hAnsi="Arial"/>
          <w:sz w:val="16"/>
          <w:szCs w:val="16"/>
          <w:b w:val="1"/>
          <w:bCs w:val="1"/>
          <w:color w:val="auto"/>
        </w:rPr>
        <w:t xml:space="preserve">ISIN:</w:t>
      </w:r>
      <w:r>
        <w:rPr xmlns:w="http://schemas.openxmlformats.org/wordprocessingml/2006/main">
          <w:rFonts w:ascii="Arial" w:cs="Arial" w:eastAsia="Arial" w:hAnsi="Arial"/>
          <w:sz w:val="16"/>
          <w:szCs w:val="16"/>
          <w:b w:val="1"/>
          <w:bCs w:val="1"/>
          <w:color w:val="auto"/>
        </w:rPr>
        <w:t xml:space="preserve"> IE0005YK6564</w:t>
      </w:r>
    </w:p>
    <w:p>
      <w:pPr>
        <w:spacing w:after="0" w:line="63" w:lineRule="exact"/>
        <w:rPr>
          <w:sz w:val="24"/>
          <w:szCs w:val="24"/>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9"/>
          <w:szCs w:val="19"/>
          <w:b w:val="1"/>
          <w:bCs w:val="1"/>
          <w:color w:val="auto"/>
        </w:rPr>
        <w:t xml:space="preserve">Ένα επιμέρους κεφάλαιο της HANetf ICAV.</w:t>
      </w:r>
      <w:r>
        <w:rPr xmlns:w="http://schemas.openxmlformats.org/wordprocessingml/2006/main">
          <w:rFonts w:ascii="Arial" w:cs="Arial" w:eastAsia="Arial" w:hAnsi="Arial"/>
          <w:sz w:val="19"/>
          <w:szCs w:val="19"/>
          <w:b w:val="1"/>
          <w:bCs w:val="1"/>
          <w:color w:val="auto"/>
        </w:rPr>
        <w:t xml:space="preserve"> Διαχείριση από την HANetf Management Limited (ο διαχειριστής)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6350</wp:posOffset>
            </wp:positionV>
            <wp:extent cx="6016625" cy="24828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016625" cy="248285"/>
                    </a:xfrm>
                    <a:prstGeom prst="rect">
                      <a:avLst/>
                    </a:prstGeom>
                    <a:noFill/>
                  </pic:spPr>
                </pic:pic>
              </a:graphicData>
            </a:graphic>
          </wp:anchor>
        </w:drawing>
      </w:r>
    </w:p>
    <w:p>
      <w:pPr>
        <w:spacing w:after="0" w:line="47" w:lineRule="exact"/>
        <w:rPr>
          <w:sz w:val="24"/>
          <w:szCs w:val="24"/>
          <w:color w:val="auto"/>
        </w:rPr>
      </w:pPr>
    </w:p>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23"/>
          <w:szCs w:val="23"/>
          <w:b w:val="1"/>
          <w:bCs w:val="1"/>
          <w:color w:val="auto"/>
        </w:rPr>
        <w:t xml:space="preserve">Στόχοι και επενδυτική πολιτική</w:t>
      </w:r>
    </w:p>
    <w:p>
      <w:pPr>
        <w:sectPr>
          <w:pgSz w:w="12240" w:h="15840" w:orient="portrait"/>
          <w:cols w:equalWidth="0" w:num="1">
            <w:col w:w="9700"/>
          </w:cols>
          <w:pgMar w:left="1340" w:top="1440" w:right="1200" w:bottom="598" w:gutter="0" w:footer="0" w:header="0"/>
        </w:sectPr>
      </w:pPr>
    </w:p>
    <w:p>
      <w:pPr>
        <w:spacing w:after="0" w:line="334" w:lineRule="exact"/>
        <w:rPr>
          <w:sz w:val="24"/>
          <w:szCs w:val="24"/>
          <w:color w:val="auto"/>
        </w:rPr>
      </w:pPr>
    </w:p>
    <w:p>
      <w:pPr xmlns:w="http://schemas.openxmlformats.org/wordprocessingml/2006/main">
        <w:jc w:val="both"/>
        <w:ind w:left="120"/>
        <w:spacing w:after="0" w:line="253" w:lineRule="auto"/>
        <w:rPr>
          <w:sz w:val="20"/>
          <w:szCs w:val="20"/>
          <w:color w:val="auto"/>
        </w:rPr>
      </w:pPr>
      <w:r>
        <w:rPr xmlns:w="http://schemas.openxmlformats.org/wordprocessingml/2006/main">
          <w:rFonts w:ascii="Arial" w:cs="Arial" w:eastAsia="Arial" w:hAnsi="Arial"/>
          <w:sz w:val="17"/>
          <w:szCs w:val="17"/>
          <w:b w:val="1"/>
          <w:bCs w:val="1"/>
          <w:color w:val="auto"/>
        </w:rPr>
        <w:t xml:space="preserve">Το Ταμείο επιδιώκει να παρακολουθήσει την απόδοση τιμών και αποδόσεων, πριν από τα τέλη και τις δαπάνες, του North Shore Sport Uranium Miners Index (ο Δείκτης).</w:t>
      </w:r>
    </w:p>
    <w:p>
      <w:pPr>
        <w:spacing w:after="0" w:line="1" w:lineRule="exact"/>
        <w:rPr>
          <w:sz w:val="24"/>
          <w:szCs w:val="24"/>
          <w:color w:val="auto"/>
        </w:rPr>
      </w:pPr>
    </w:p>
    <w:p>
      <w:pPr xmlns:w="http://schemas.openxmlformats.org/wordprocessingml/2006/main">
        <w:jc w:val="both"/>
        <w:ind w:left="120"/>
        <w:spacing w:after="0" w:line="369" w:lineRule="auto"/>
        <w:rPr>
          <w:sz w:val="20"/>
          <w:szCs w:val="20"/>
          <w:color w:val="auto"/>
        </w:rPr>
      </w:pPr>
      <w:r>
        <w:rPr xmlns:w="http://schemas.openxmlformats.org/wordprocessingml/2006/main">
          <w:rFonts w:ascii="Arial" w:cs="Arial" w:eastAsia="Arial" w:hAnsi="Arial"/>
          <w:sz w:val="14"/>
          <w:szCs w:val="14"/>
          <w:b w:val="1"/>
          <w:bCs w:val="1"/>
          <w:color w:val="auto"/>
        </w:rPr>
        <w:t xml:space="preserve">Ευρετήριο:</w:t>
      </w:r>
      <w:r>
        <w:rPr xmlns:w="http://schemas.openxmlformats.org/wordprocessingml/2006/main">
          <w:rFonts w:ascii="Arial" w:cs="Arial" w:eastAsia="Arial" w:hAnsi="Arial"/>
          <w:sz w:val="14"/>
          <w:szCs w:val="14"/>
          <w:b w:val="1"/>
          <w:bCs w:val="1"/>
          <w:color w:val="auto"/>
        </w:rPr>
        <w:t xml:space="preserve"> Ο Δείκτης διέπεται από μια δημοσιευμένη, βασισμένη σε κανόνες μεθοδολογία και έχει σχεδιαστεί για τη μέτρηση των επιδόσεων ενός παγκόσμιου επενδυτικού σύμπαντος εισηγμένων εταιρειών που συμμετέχουν στην εξόρυξη, εξερεύνηση, ανάπτυξη και παραγωγή ουρανίου και/ή κατέχουν δικαιώματα φυσικού ουρανίου και ουρανίου.</w:t>
      </w:r>
    </w:p>
    <w:p>
      <w:pPr>
        <w:spacing w:after="0" w:line="1" w:lineRule="exact"/>
        <w:rPr>
          <w:sz w:val="24"/>
          <w:szCs w:val="24"/>
          <w:color w:val="auto"/>
        </w:rPr>
      </w:pPr>
    </w:p>
    <w:p>
      <w:pPr xmlns:w="http://schemas.openxmlformats.org/wordprocessingml/2006/main">
        <w:jc w:val="both"/>
        <w:ind w:left="120"/>
        <w:spacing w:after="0" w:line="264" w:lineRule="auto"/>
        <w:rPr>
          <w:sz w:val="20"/>
          <w:szCs w:val="20"/>
          <w:color w:val="auto"/>
        </w:rPr>
      </w:pPr>
      <w:r>
        <w:rPr xmlns:w="http://schemas.openxmlformats.org/wordprocessingml/2006/main">
          <w:rFonts w:ascii="Arial" w:cs="Arial" w:eastAsia="Arial" w:hAnsi="Arial"/>
          <w:sz w:val="17"/>
          <w:szCs w:val="17"/>
          <w:b w:val="1"/>
          <w:bCs w:val="1"/>
          <w:color w:val="auto"/>
        </w:rPr>
        <w:t xml:space="preserve">Επιλεξιμότητα:</w:t>
      </w:r>
      <w:r>
        <w:rPr xmlns:w="http://schemas.openxmlformats.org/wordprocessingml/2006/main">
          <w:rFonts w:ascii="Arial" w:cs="Arial" w:eastAsia="Arial" w:hAnsi="Arial"/>
          <w:sz w:val="17"/>
          <w:szCs w:val="17"/>
          <w:b w:val="1"/>
          <w:bCs w:val="1"/>
          <w:color w:val="auto"/>
        </w:rPr>
        <w:t xml:space="preserve"> Για να είναι επιλέξιμα για καταχώριση στο δείκτη, τα συστατικά στοιχεία πρέπει να πληρούν τα ακόλουθα κριτήρια:</w:t>
      </w:r>
    </w:p>
    <w:p>
      <w:pPr>
        <w:spacing w:after="0" w:line="22" w:lineRule="exact"/>
        <w:rPr>
          <w:sz w:val="24"/>
          <w:szCs w:val="24"/>
          <w:color w:val="auto"/>
        </w:rPr>
      </w:pPr>
    </w:p>
    <w:p>
      <w:pPr xmlns:w="http://schemas.openxmlformats.org/wordprocessingml/2006/main">
        <w:ind w:left="460"/>
        <w:spacing w:after="0" w:line="259" w:lineRule="auto"/>
        <w:rPr>
          <w:sz w:val="24"/>
          <w:szCs w:val="24"/>
          <w:color w:val="auto"/>
        </w:rPr>
      </w:pPr>
      <w:r>
        <w:rPr xmlns:w="http://schemas.openxmlformats.org/wordprocessingml/2006/main">
          <w:rFonts w:ascii="Arial" w:cs="Arial" w:eastAsia="Arial" w:hAnsi="Arial"/>
          <w:sz w:val="17"/>
          <w:szCs w:val="17"/>
          <w:b w:val="1"/>
          <w:bCs w:val="1"/>
          <w:color w:val="auto"/>
        </w:rPr>
        <w:t xml:space="preserve">είναι εισηγμένα σε ρυθμιζόμενες αγορές, όπως δημοσιοποιούνται στο προσάρτημα 1 του ενημερωτικού δελτίου·</w:t>
      </w:r>
    </w:p>
    <w:p>
      <w:pPr xmlns:w="http://schemas.openxmlformats.org/wordprocessingml/2006/main">
        <w:ind w:left="460"/>
        <w:spacing w:after="0" w:line="255" w:lineRule="auto"/>
        <w:rPr>
          <w:sz w:val="24"/>
          <w:szCs w:val="24"/>
          <w:color w:val="auto"/>
        </w:rPr>
      </w:pPr>
      <w:r>
        <w:rPr xmlns:w="http://schemas.openxmlformats.org/wordprocessingml/2006/main">
          <w:rFonts w:ascii="Arial" w:cs="Arial" w:eastAsia="Arial" w:hAnsi="Arial"/>
          <w:sz w:val="17"/>
          <w:szCs w:val="17"/>
          <w:b w:val="1"/>
          <w:bCs w:val="1"/>
          <w:color w:val="auto"/>
        </w:rPr>
        <w:t xml:space="preserve">έχουν ή αναμένουν να έχουν σημαντικό μέρος των επιχειρηματικών τους δραστηριοτήτων που σχετίζονται με τη βιομηχανία ουρανίου (ιδίως εξόρυξη ουρανίου, εξερεύνηση ουρανίου, επενδύσεις φυσικού ουρανίου και τεχνολογίες που σχετίζονται με τη βιομηχανία ουρανίου)·</w:t>
      </w:r>
    </w:p>
    <w:p>
      <w:pPr xmlns:w="http://schemas.openxmlformats.org/wordprocessingml/2006/main">
        <w:ind w:left="460"/>
        <w:spacing w:after="0" w:line="259" w:lineRule="auto"/>
        <w:rPr>
          <w:sz w:val="24"/>
          <w:szCs w:val="24"/>
          <w:color w:val="auto"/>
        </w:rPr>
      </w:pPr>
      <w:r>
        <w:rPr xmlns:w="http://schemas.openxmlformats.org/wordprocessingml/2006/main">
          <w:rFonts w:ascii="Arial" w:cs="Arial" w:eastAsia="Arial" w:hAnsi="Arial"/>
          <w:sz w:val="17"/>
          <w:szCs w:val="17"/>
          <w:b w:val="1"/>
          <w:bCs w:val="1"/>
          <w:color w:val="auto"/>
        </w:rPr>
        <w:t xml:space="preserve">ελάχιστες απαιτήσεις χρηματιστηριακής αξίας και ρευστότητας, όπως καθορίζονται στο συμπλήρωμα για το Ταμείο (το συμπλήρωμα).</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166370</wp:posOffset>
            </wp:positionV>
            <wp:extent cx="6013450" cy="2501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6013450" cy="250190"/>
                    </a:xfrm>
                    <a:prstGeom prst="rect">
                      <a:avLst/>
                    </a:prstGeom>
                    <a:noFill/>
                  </pic:spPr>
                </pic:pic>
              </a:graphicData>
            </a:graphic>
          </wp:anchor>
        </w:drawing>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314" w:lineRule="exact"/>
        <w:rPr>
          <w:sz w:val="24"/>
          <w:szCs w:val="24"/>
          <w:color w:val="auto"/>
        </w:rPr>
      </w:pPr>
    </w:p>
    <w:p>
      <w:pPr xmlns:w="http://schemas.openxmlformats.org/wordprocessingml/2006/main">
        <w:jc w:val="both"/>
        <w:ind w:right="140"/>
        <w:spacing w:after="0" w:line="343" w:lineRule="auto"/>
        <w:rPr>
          <w:sz w:val="20"/>
          <w:szCs w:val="20"/>
          <w:color w:val="auto"/>
        </w:rPr>
      </w:pPr>
      <w:r>
        <w:rPr xmlns:w="http://schemas.openxmlformats.org/wordprocessingml/2006/main">
          <w:rFonts w:ascii="Arial" w:cs="Arial" w:eastAsia="Arial" w:hAnsi="Arial"/>
          <w:sz w:val="15"/>
          <w:szCs w:val="15"/>
          <w:b w:val="1"/>
          <w:bCs w:val="1"/>
          <w:color w:val="auto"/>
        </w:rPr>
        <w:t xml:space="preserve">Ο Δείκτης ανισορροπείται ανά εξάμηνο το Μάρτιο και το Σεπτέμβριο βάσει των παραπάνω κριτηρίων επιλεξιμότητας, οπότε η μέγιστη στάθμιση κάθε τίτλου περιορίζεται στο 15%.</w:t>
      </w:r>
    </w:p>
    <w:p>
      <w:pPr>
        <w:spacing w:after="0" w:line="2" w:lineRule="exact"/>
        <w:rPr>
          <w:sz w:val="24"/>
          <w:szCs w:val="24"/>
          <w:color w:val="auto"/>
        </w:rPr>
      </w:pPr>
    </w:p>
    <w:p>
      <w:pPr xmlns:w="http://schemas.openxmlformats.org/wordprocessingml/2006/main">
        <w:jc w:val="both"/>
        <w:ind w:right="120"/>
        <w:spacing w:after="0" w:line="287" w:lineRule="auto"/>
        <w:rPr>
          <w:sz w:val="20"/>
          <w:szCs w:val="20"/>
          <w:color w:val="auto"/>
        </w:rPr>
      </w:pPr>
      <w:r>
        <w:rPr xmlns:w="http://schemas.openxmlformats.org/wordprocessingml/2006/main">
          <w:rFonts w:ascii="Arial" w:cs="Arial" w:eastAsia="Arial" w:hAnsi="Arial"/>
          <w:sz w:val="15"/>
          <w:szCs w:val="15"/>
          <w:b w:val="1"/>
          <w:bCs w:val="1"/>
          <w:color w:val="auto"/>
        </w:rPr>
        <w:t xml:space="preserve">Αναπαραγωγή:</w:t>
      </w:r>
      <w:r>
        <w:rPr xmlns:w="http://schemas.openxmlformats.org/wordprocessingml/2006/main">
          <w:rFonts w:ascii="Arial" w:cs="Arial" w:eastAsia="Arial" w:hAnsi="Arial"/>
          <w:sz w:val="15"/>
          <w:szCs w:val="15"/>
          <w:b w:val="1"/>
          <w:bCs w:val="1"/>
          <w:color w:val="auto"/>
        </w:rPr>
        <w:t xml:space="preserve"> Το Ταμείο θα χρησιμοποιεί μια επενδυτική στρατηγική «παθητικής διαχείρισης» (ή δεικτοδότησης) και θα επιδιώκει να χρησιμοποιεί μια μεθοδολογία αναπαραγωγής, που σημαίνει, στο μέτρο του δυνατού και εφαρμόσιμου, ότι θα επενδύει στους μετοχικούς τίτλους των εταιρειών ανάλογα με τις σταθμίσεις που περιλαμβάνει ο δείκτης.</w:t>
      </w:r>
    </w:p>
    <w:p>
      <w:pPr>
        <w:spacing w:after="0" w:line="3" w:lineRule="exact"/>
        <w:rPr>
          <w:sz w:val="24"/>
          <w:szCs w:val="24"/>
          <w:color w:val="auto"/>
        </w:rPr>
      </w:pPr>
    </w:p>
    <w:p>
      <w:pPr xmlns:w="http://schemas.openxmlformats.org/wordprocessingml/2006/main">
        <w:jc w:val="both"/>
        <w:ind w:right="120"/>
        <w:spacing w:after="0" w:line="287" w:lineRule="auto"/>
        <w:rPr>
          <w:sz w:val="20"/>
          <w:szCs w:val="20"/>
          <w:color w:val="auto"/>
        </w:rPr>
      </w:pPr>
      <w:r>
        <w:rPr xmlns:w="http://schemas.openxmlformats.org/wordprocessingml/2006/main">
          <w:rFonts w:ascii="Arial" w:cs="Arial" w:eastAsia="Arial" w:hAnsi="Arial"/>
          <w:sz w:val="15"/>
          <w:szCs w:val="15"/>
          <w:b w:val="1"/>
          <w:bCs w:val="1"/>
          <w:color w:val="auto"/>
        </w:rPr>
        <w:t xml:space="preserve">Συναλλαγές:</w:t>
      </w:r>
      <w:r>
        <w:rPr xmlns:w="http://schemas.openxmlformats.org/wordprocessingml/2006/main">
          <w:rFonts w:ascii="Arial" w:cs="Arial" w:eastAsia="Arial" w:hAnsi="Arial"/>
          <w:sz w:val="15"/>
          <w:szCs w:val="15"/>
          <w:b w:val="1"/>
          <w:bCs w:val="1"/>
          <w:color w:val="auto"/>
        </w:rPr>
        <w:t xml:space="preserve"> Οι μετοχές του Ταμείου (Μετοχές) είναι εισηγμένες σε ένα ή περισσότερα χρηματιστήρια.</w:t>
      </w:r>
      <w:r>
        <w:rPr xmlns:w="http://schemas.openxmlformats.org/wordprocessingml/2006/main">
          <w:rFonts w:ascii="Arial" w:cs="Arial" w:eastAsia="Arial" w:hAnsi="Arial"/>
          <w:sz w:val="15"/>
          <w:szCs w:val="15"/>
          <w:b w:val="1"/>
          <w:bCs w:val="1"/>
          <w:color w:val="auto"/>
        </w:rPr>
        <w:t xml:space="preserve"> Συνήθως, μόνο εξουσιοδοτημένοι συμμετέχοντες (π.χ. μεσίτες) μπορούν να αγοράσουν μετοχές ή να πουλήσουν μετοχές στο Ταμείο.</w:t>
      </w:r>
      <w:r>
        <w:rPr xmlns:w="http://schemas.openxmlformats.org/wordprocessingml/2006/main">
          <w:rFonts w:ascii="Arial" w:cs="Arial" w:eastAsia="Arial" w:hAnsi="Arial"/>
          <w:sz w:val="15"/>
          <w:szCs w:val="15"/>
          <w:b w:val="1"/>
          <w:bCs w:val="1"/>
          <w:color w:val="auto"/>
        </w:rPr>
        <w:t xml:space="preserve"> Άλλοι επενδυτές μπορούν να αγοράσουν και να πωλήσουν μετοχές σε αντάλλαγμα σε κάθε ημέρα που το σχετικό χρηματιστήριο είναι ανοιχτό.</w:t>
      </w:r>
    </w:p>
    <w:p>
      <w:pPr>
        <w:spacing w:after="0" w:line="1" w:lineRule="exact"/>
        <w:rPr>
          <w:sz w:val="24"/>
          <w:szCs w:val="24"/>
          <w:color w:val="auto"/>
        </w:rPr>
      </w:pPr>
    </w:p>
    <w:p>
      <w:pPr xmlns:w="http://schemas.openxmlformats.org/wordprocessingml/2006/main">
        <w:jc w:val="both"/>
        <w:ind w:right="140"/>
        <w:spacing w:after="0" w:line="287" w:lineRule="auto"/>
        <w:rPr>
          <w:sz w:val="20"/>
          <w:szCs w:val="20"/>
          <w:color w:val="auto"/>
        </w:rPr>
      </w:pPr>
      <w:r>
        <w:rPr xmlns:w="http://schemas.openxmlformats.org/wordprocessingml/2006/main">
          <w:rFonts w:ascii="Arial" w:cs="Arial" w:eastAsia="Arial" w:hAnsi="Arial"/>
          <w:sz w:val="15"/>
          <w:szCs w:val="15"/>
          <w:b w:val="1"/>
          <w:bCs w:val="1"/>
          <w:color w:val="auto"/>
        </w:rPr>
        <w:t xml:space="preserve">Πολιτική διανομής:</w:t>
      </w:r>
      <w:r>
        <w:rPr xmlns:w="http://schemas.openxmlformats.org/wordprocessingml/2006/main">
          <w:rFonts w:ascii="Arial" w:cs="Arial" w:eastAsia="Arial" w:hAnsi="Arial"/>
          <w:sz w:val="15"/>
          <w:szCs w:val="15"/>
          <w:b w:val="1"/>
          <w:bCs w:val="1"/>
          <w:color w:val="auto"/>
        </w:rPr>
        <w:t xml:space="preserve"> Τα έσοδα που εισπράττονται από τις επενδύσεις του Ταμείου δεν θα διανέμονται σε σχέση με τις μετοχές αυτής της κατηγορίας και αντ’ αυτού το εισόδημα θα συσσωρεύεται και θα επανεπενδύεται για λογαριασμό των μετόχων του Ταμείου.</w:t>
      </w:r>
    </w:p>
    <w:p>
      <w:pPr>
        <w:spacing w:after="0" w:line="1" w:lineRule="exact"/>
        <w:rPr>
          <w:sz w:val="24"/>
          <w:szCs w:val="24"/>
          <w:color w:val="auto"/>
        </w:rPr>
      </w:pPr>
    </w:p>
    <w:p>
      <w:pPr xmlns:w="http://schemas.openxmlformats.org/wordprocessingml/2006/main">
        <w:jc w:val="both"/>
        <w:ind w:right="140"/>
        <w:spacing w:after="0" w:line="253" w:lineRule="auto"/>
        <w:rPr>
          <w:sz w:val="20"/>
          <w:szCs w:val="20"/>
          <w:color w:val="auto"/>
        </w:rPr>
      </w:pPr>
      <w:r>
        <w:rPr xmlns:w="http://schemas.openxmlformats.org/wordprocessingml/2006/main">
          <w:rFonts w:ascii="Arial" w:cs="Arial" w:eastAsia="Arial" w:hAnsi="Arial"/>
          <w:sz w:val="17"/>
          <w:szCs w:val="17"/>
          <w:b w:val="1"/>
          <w:bCs w:val="1"/>
          <w:color w:val="auto"/>
        </w:rPr>
        <w:t xml:space="preserve">Σύσταση:</w:t>
      </w:r>
      <w:r>
        <w:rPr xmlns:w="http://schemas.openxmlformats.org/wordprocessingml/2006/main">
          <w:rFonts w:ascii="Arial" w:cs="Arial" w:eastAsia="Arial" w:hAnsi="Arial"/>
          <w:sz w:val="17"/>
          <w:szCs w:val="17"/>
          <w:b w:val="1"/>
          <w:bCs w:val="1"/>
          <w:color w:val="auto"/>
        </w:rPr>
        <w:t xml:space="preserve"> Το Ταμείο αυτό μπορεί να μην είναι κατάλληλο για βραχυπρόθεσμες επενδύσεις.</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Νόμισμα:</w:t>
      </w:r>
      <w:r>
        <w:rPr xmlns:w="http://schemas.openxmlformats.org/wordprocessingml/2006/main">
          <w:rFonts w:ascii="Arial" w:cs="Arial" w:eastAsia="Arial" w:hAnsi="Arial"/>
          <w:sz w:val="17"/>
          <w:szCs w:val="17"/>
          <w:b w:val="1"/>
          <w:bCs w:val="1"/>
          <w:color w:val="auto"/>
        </w:rPr>
        <w:t xml:space="preserve"> Το βασικό νόμισμα του Ταμείου είναι το δολάριο ΗΠΑ.</w:t>
      </w:r>
    </w:p>
    <w:p>
      <w:pPr>
        <w:spacing w:after="0" w:line="13" w:lineRule="exact"/>
        <w:rPr>
          <w:sz w:val="24"/>
          <w:szCs w:val="24"/>
          <w:color w:val="auto"/>
        </w:rPr>
      </w:pPr>
    </w:p>
    <w:p>
      <w:pPr xmlns:w="http://schemas.openxmlformats.org/wordprocessingml/2006/main">
        <w:jc w:val="both"/>
        <w:ind w:right="140"/>
        <w:spacing w:after="0" w:line="261" w:lineRule="auto"/>
        <w:rPr>
          <w:sz w:val="20"/>
          <w:szCs w:val="20"/>
          <w:color w:val="auto"/>
        </w:rPr>
      </w:pPr>
      <w:r>
        <w:rPr xmlns:w="http://schemas.openxmlformats.org/wordprocessingml/2006/main">
          <w:rFonts w:ascii="Arial" w:cs="Arial" w:eastAsia="Arial" w:hAnsi="Arial"/>
          <w:sz w:val="17"/>
          <w:szCs w:val="17"/>
          <w:b w:val="1"/>
          <w:bCs w:val="1"/>
          <w:color w:val="auto"/>
        </w:rPr>
        <w:t xml:space="preserve">Για πλήρεις επενδυτικούς στόχους και λεπτομέρειες πολιτικής, παρακαλούμε να ανατρέξετε στο Συμπλήρωμα.</w:t>
      </w:r>
    </w:p>
    <w:p>
      <w:pPr>
        <w:spacing w:after="0" w:line="44" w:lineRule="exact"/>
        <w:rPr>
          <w:sz w:val="24"/>
          <w:szCs w:val="24"/>
          <w:color w:val="auto"/>
        </w:rPr>
      </w:pPr>
    </w:p>
    <w:p>
      <w:pPr>
        <w:sectPr>
          <w:pgSz w:w="12240" w:h="15840" w:orient="portrait"/>
          <w:cols w:equalWidth="0" w:num="2">
            <w:col w:w="4580" w:space="520"/>
            <w:col w:w="4600"/>
          </w:cols>
          <w:pgMar w:left="1340" w:top="1440" w:right="1200" w:bottom="598" w:gutter="0" w:footer="0" w:header="0"/>
          <w:type w:val="continuous"/>
        </w:sectPr>
      </w:pPr>
    </w:p>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23"/>
          <w:szCs w:val="23"/>
          <w:b w:val="1"/>
          <w:bCs w:val="1"/>
          <w:color w:val="auto"/>
        </w:rPr>
        <w:t xml:space="preserve">Προφίλ κινδύνου και ανταμοιβής</w:t>
      </w:r>
    </w:p>
    <w:p>
      <w:pPr>
        <w:spacing w:after="0" w:line="346" w:lineRule="exact"/>
        <w:rPr>
          <w:sz w:val="24"/>
          <w:szCs w:val="24"/>
          <w:color w:val="auto"/>
        </w:rPr>
      </w:pPr>
    </w:p>
    <w:tbl>
      <w:tblPr>
        <w:tblLayout w:type="fixed"/>
        <w:tblInd w:w="0" w:type="dxa"/>
        <w:tblCellMar>
          <w:top w:w="0" w:type="dxa"/>
          <w:left w:w="0" w:type="dxa"/>
          <w:bottom w:w="0" w:type="dxa"/>
          <w:right w:w="0" w:type="dxa"/>
        </w:tblCellMar>
      </w:tblPr>
      <w:tr>
        <w:trPr>
          <w:trHeight w:val="205"/>
        </w:trPr>
        <w:tc>
          <w:tcPr>
            <w:tcW w:w="8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auto"/>
                <w:w w:val="91"/>
              </w:rPr>
              <w:t xml:space="preserve">Μείωση κινδύνου</w:t>
            </w:r>
          </w:p>
        </w:tc>
        <w:tc>
          <w:tcPr>
            <w:tcW w:w="4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7"/>
                <w:szCs w:val="17"/>
                <w:b w:val="1"/>
                <w:bCs w:val="1"/>
                <w:color w:val="auto"/>
                <w:w w:val="87"/>
              </w:rPr>
              <w:t xml:space="preserve">Υψηλότερος κίνδυνος</w:t>
            </w:r>
          </w:p>
        </w:tc>
      </w:tr>
      <w:tr>
        <w:trPr>
          <w:trHeight w:val="206"/>
        </w:trPr>
        <w:tc>
          <w:tcPr>
            <w:tcW w:w="1860" w:type="dxa"/>
            <w:vAlign w:val="bottom"/>
            <w:gridSpan w:val="3"/>
          </w:tcPr>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auto"/>
                <w:w w:val="95"/>
              </w:rPr>
              <w:t xml:space="preserve">Συνήθως χαμηλότερες ανταμοιβές</w:t>
            </w:r>
          </w:p>
        </w:tc>
        <w:tc>
          <w:tcPr>
            <w:tcW w:w="600" w:type="dxa"/>
            <w:vAlign w:val="bottom"/>
          </w:tcPr>
          <w:p>
            <w:pPr>
              <w:spacing w:after="0"/>
              <w:rPr>
                <w:sz w:val="17"/>
                <w:szCs w:val="17"/>
                <w:color w:val="auto"/>
              </w:rPr>
            </w:pPr>
          </w:p>
        </w:tc>
        <w:tc>
          <w:tcPr>
            <w:tcW w:w="1900" w:type="dxa"/>
            <w:vAlign w:val="bottom"/>
            <w:gridSpan w:val="3"/>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7"/>
                <w:szCs w:val="17"/>
                <w:b w:val="1"/>
                <w:bCs w:val="1"/>
                <w:color w:val="auto"/>
                <w:w w:val="94"/>
              </w:rPr>
              <w:t xml:space="preserve">Συνήθως υψηλότερες ανταμοιβές</w:t>
            </w:r>
          </w:p>
        </w:tc>
      </w:tr>
      <w:tr>
        <w:trPr>
          <w:trHeight w:val="487"/>
        </w:trPr>
        <w:tc>
          <w:tcPr>
            <w:tcW w:w="800" w:type="dxa"/>
            <w:vAlign w:val="bottom"/>
          </w:tcPr>
          <w:p>
            <w:pPr xmlns:w="http://schemas.openxmlformats.org/wordprocessingml/2006/main">
              <w:jc w:val="right"/>
              <w:ind w:right="396"/>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1</w:t>
            </w:r>
          </w:p>
        </w:tc>
        <w:tc>
          <w:tcPr>
            <w:tcW w:w="420" w:type="dxa"/>
            <w:vAlign w:val="bottom"/>
          </w:tcPr>
          <w:p>
            <w:pPr xmlns:w="http://schemas.openxmlformats.org/wordprocessingml/2006/main">
              <w:jc w:val="right"/>
              <w:ind w:right="176"/>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2</w:t>
            </w:r>
          </w:p>
        </w:tc>
        <w:tc>
          <w:tcPr>
            <w:tcW w:w="640" w:type="dxa"/>
            <w:vAlign w:val="bottom"/>
          </w:tcPr>
          <w:p>
            <w:pPr xmlns:w="http://schemas.openxmlformats.org/wordprocessingml/2006/main">
              <w:jc w:val="right"/>
              <w:ind w:right="196"/>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3</w:t>
            </w:r>
          </w:p>
        </w:tc>
        <w:tc>
          <w:tcPr>
            <w:tcW w:w="600" w:type="dxa"/>
            <w:vAlign w:val="bottom"/>
          </w:tcPr>
          <w:p>
            <w:pPr xmlns:w="http://schemas.openxmlformats.org/wordprocessingml/2006/main">
              <w:jc w:val="right"/>
              <w:ind w:right="156"/>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4</w:t>
            </w:r>
          </w:p>
        </w:tc>
        <w:tc>
          <w:tcPr>
            <w:tcW w:w="660" w:type="dxa"/>
            <w:vAlign w:val="bottom"/>
          </w:tcPr>
          <w:p>
            <w:pPr xmlns:w="http://schemas.openxmlformats.org/wordprocessingml/2006/main">
              <w:jc w:val="right"/>
              <w:ind w:right="176"/>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5</w:t>
            </w:r>
          </w:p>
        </w:tc>
        <w:tc>
          <w:tcPr>
            <w:tcW w:w="44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6</w:t>
            </w:r>
          </w:p>
        </w:tc>
        <w:tc>
          <w:tcPr>
            <w:tcW w:w="820" w:type="dxa"/>
            <w:vAlign w:val="bottom"/>
          </w:tcPr>
          <w:p>
            <w:pPr xmlns:w="http://schemas.openxmlformats.org/wordprocessingml/2006/main">
              <w:jc w:val="right"/>
              <w:ind w:right="156"/>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7</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-22860</wp:posOffset>
            </wp:positionH>
            <wp:positionV relativeFrom="paragraph">
              <wp:posOffset>-137160</wp:posOffset>
            </wp:positionV>
            <wp:extent cx="2818130" cy="151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2818130" cy="151130"/>
                    </a:xfrm>
                    <a:prstGeom prst="rect">
                      <a:avLst/>
                    </a:prstGeom>
                    <a:noFill/>
                  </pic:spPr>
                </pic:pic>
              </a:graphicData>
            </a:graphic>
          </wp:anchor>
        </w:drawing>
        <w:drawing>
          <wp:anchor simplePos="0" relativeHeight="251657728" behindDoc="1" locked="0" layoutInCell="0" allowOverlap="1">
            <wp:simplePos x="0" y="0"/>
            <wp:positionH relativeFrom="column">
              <wp:posOffset>-7620</wp:posOffset>
            </wp:positionH>
            <wp:positionV relativeFrom="paragraph">
              <wp:posOffset>-280035</wp:posOffset>
            </wp:positionV>
            <wp:extent cx="2784475" cy="717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2784475" cy="71755"/>
                    </a:xfrm>
                    <a:prstGeom prst="rect">
                      <a:avLst/>
                    </a:prstGeom>
                    <a:noFill/>
                  </pic:spPr>
                </pic:pic>
              </a:graphicData>
            </a:graphic>
          </wp:anchor>
        </w:drawing>
      </w:r>
    </w:p>
    <w:p>
      <w:pPr>
        <w:spacing w:after="0" w:line="1" w:lineRule="exact"/>
        <w:rPr>
          <w:sz w:val="24"/>
          <w:szCs w:val="24"/>
          <w:color w:val="auto"/>
        </w:rPr>
      </w:pPr>
    </w:p>
    <w:p>
      <w:pPr xmlns:w="http://schemas.openxmlformats.org/wordprocessingml/2006/main">
        <w:ind w:left="120" w:right="360"/>
        <w:spacing w:after="0" w:line="253" w:lineRule="auto"/>
        <w:rPr>
          <w:sz w:val="20"/>
          <w:szCs w:val="20"/>
          <w:color w:val="auto"/>
        </w:rPr>
      </w:pPr>
      <w:r>
        <w:rPr xmlns:w="http://schemas.openxmlformats.org/wordprocessingml/2006/main">
          <w:rFonts w:ascii="Arial" w:cs="Arial" w:eastAsia="Arial" w:hAnsi="Arial"/>
          <w:sz w:val="17"/>
          <w:szCs w:val="17"/>
          <w:b w:val="1"/>
          <w:bCs w:val="1"/>
          <w:color w:val="auto"/>
        </w:rPr>
        <w:t xml:space="preserve">Η παραπάνω κατηγοριοποίηση δεν είναι εγγυημένο ότι θα παραμείνει αμετάβλητη και μπορεί να μετατοπισθεί με την πάροδο του χρόνου.</w:t>
      </w:r>
    </w:p>
    <w:p>
      <w:pPr>
        <w:spacing w:after="0" w:line="1" w:lineRule="exact"/>
        <w:rPr>
          <w:sz w:val="24"/>
          <w:szCs w:val="24"/>
          <w:color w:val="auto"/>
        </w:rPr>
      </w:pPr>
    </w:p>
    <w:p>
      <w:pPr xmlns:w="http://schemas.openxmlformats.org/wordprocessingml/2006/main">
        <w:ind w:left="120" w:right="360"/>
        <w:spacing w:after="0" w:line="270" w:lineRule="auto"/>
        <w:rPr>
          <w:sz w:val="20"/>
          <w:szCs w:val="20"/>
          <w:color w:val="auto"/>
        </w:rPr>
      </w:pPr>
      <w:r>
        <w:rPr xmlns:w="http://schemas.openxmlformats.org/wordprocessingml/2006/main">
          <w:rFonts w:ascii="Arial" w:cs="Arial" w:eastAsia="Arial" w:hAnsi="Arial"/>
          <w:sz w:val="16"/>
          <w:szCs w:val="16"/>
          <w:b w:val="1"/>
          <w:bCs w:val="1"/>
          <w:color w:val="auto"/>
        </w:rPr>
        <w:t xml:space="preserve">Η χαμηλότερη κατηγορία (1) δεν συνεπάγεται επένδυση άνευ κινδύνου.</w:t>
      </w:r>
      <w:r>
        <w:rPr xmlns:w="http://schemas.openxmlformats.org/wordprocessingml/2006/main">
          <w:rFonts w:ascii="Arial" w:cs="Arial" w:eastAsia="Arial" w:hAnsi="Arial"/>
          <w:sz w:val="16"/>
          <w:szCs w:val="16"/>
          <w:b w:val="1"/>
          <w:bCs w:val="1"/>
          <w:color w:val="auto"/>
        </w:rPr>
        <w:t xml:space="preserve"> Ο δείκτης κινδύνου υπολογίστηκε με την ενσωμάτωση προσομοιωμένων ιστορικών στοιχείων και ενδέχεται να μην αποτελεί αξιόπιστη ένδειξη του μελλοντικού προφίλ κινδύνου του Ταμείου.</w:t>
      </w:r>
    </w:p>
    <w:p>
      <w:pPr xmlns:w="http://schemas.openxmlformats.org/wordprocessingml/2006/main">
        <w:jc w:val="both"/>
        <w:ind w:left="120" w:right="360"/>
        <w:spacing w:after="0" w:line="257" w:lineRule="auto"/>
        <w:rPr>
          <w:sz w:val="20"/>
          <w:szCs w:val="20"/>
          <w:color w:val="auto"/>
        </w:rPr>
      </w:pPr>
      <w:r>
        <w:rPr xmlns:w="http://schemas.openxmlformats.org/wordprocessingml/2006/main">
          <w:rFonts w:ascii="Arial" w:cs="Arial" w:eastAsia="Arial" w:hAnsi="Arial"/>
          <w:sz w:val="17"/>
          <w:szCs w:val="17"/>
          <w:b w:val="1"/>
          <w:bCs w:val="1"/>
          <w:color w:val="auto"/>
        </w:rPr>
        <w:t xml:space="preserve">Η ανωτέρω κατηγοριοποίηση (7)οφείλεται στη φύση των επενδύσεων του Ταμείου και στους κινδύνους που συνδέονται με τις εν λόγω επενδύσεις, στους οποίους περιλαμβάνονται:</w:t>
      </w:r>
    </w:p>
    <w:p>
      <w:pPr>
        <w:spacing w:after="0" w:line="27" w:lineRule="exact"/>
        <w:rPr>
          <w:sz w:val="24"/>
          <w:szCs w:val="24"/>
          <w:color w:val="auto"/>
        </w:rPr>
      </w:pPr>
    </w:p>
    <w:p>
      <w:pPr xmlns:w="http://schemas.openxmlformats.org/wordprocessingml/2006/main">
        <w:ind w:left="380" w:right="360"/>
        <w:spacing w:after="0" w:line="278" w:lineRule="auto"/>
        <w:rPr>
          <w:sz w:val="24"/>
          <w:szCs w:val="24"/>
          <w:color w:val="auto"/>
        </w:rPr>
      </w:pPr>
      <w:r>
        <w:rPr xmlns:w="http://schemas.openxmlformats.org/wordprocessingml/2006/main">
          <w:rFonts w:ascii="Arial" w:cs="Arial" w:eastAsia="Arial" w:hAnsi="Arial"/>
          <w:sz w:val="16"/>
          <w:szCs w:val="16"/>
          <w:b w:val="1"/>
          <w:bCs w:val="1"/>
          <w:color w:val="auto"/>
        </w:rPr>
        <w:t xml:space="preserve">Η αξία των τίτλων μπορεί να επηρεαστεί από τις καθημερινές κινήσεις των χρηματοπιστωτικών αγορών.</w:t>
      </w:r>
      <w:r>
        <w:rPr xmlns:w="http://schemas.openxmlformats.org/wordprocessingml/2006/main">
          <w:rFonts w:ascii="Arial" w:cs="Arial" w:eastAsia="Arial" w:hAnsi="Arial"/>
          <w:sz w:val="16"/>
          <w:szCs w:val="16"/>
          <w:b w:val="1"/>
          <w:bCs w:val="1"/>
          <w:color w:val="auto"/>
        </w:rPr>
        <w:t xml:space="preserve"> Άλλοι παράγοντες που ασκούν επιρροή περιλαμβάνουν τις πολιτικές, οικονομικές ειδήσεις, τα κέρδη των εταιριών και σημαντικά επιχειρηματικά γεγονότα.</w:t>
      </w:r>
    </w:p>
    <w:p>
      <w:pPr>
        <w:spacing w:after="0" w:line="11" w:lineRule="exact"/>
        <w:rPr>
          <w:sz w:val="24"/>
          <w:szCs w:val="24"/>
          <w:color w:val="auto"/>
        </w:rPr>
      </w:pPr>
    </w:p>
    <w:p>
      <w:pPr xmlns:w="http://schemas.openxmlformats.org/wordprocessingml/2006/main">
        <w:ind w:left="380" w:right="360"/>
        <w:spacing w:after="0" w:line="257" w:lineRule="auto"/>
        <w:rPr>
          <w:sz w:val="24"/>
          <w:szCs w:val="24"/>
          <w:color w:val="auto"/>
        </w:rPr>
      </w:pPr>
      <w:r>
        <w:rPr xmlns:w="http://schemas.openxmlformats.org/wordprocessingml/2006/main">
          <w:rFonts w:ascii="Arial" w:cs="Arial" w:eastAsia="Arial" w:hAnsi="Arial"/>
          <w:sz w:val="17"/>
          <w:szCs w:val="17"/>
          <w:b w:val="1"/>
          <w:bCs w:val="1"/>
          <w:color w:val="auto"/>
        </w:rPr>
        <w:t xml:space="preserve">Δεν υπάρχει καμία βεβαιότητα ότι θα υπάρξει ανατίμηση της αξίας των επενδύσεων ή ότι θα επιτευχθεί ο επενδυτικός στόχος του Ταμείου.</w:t>
      </w:r>
    </w:p>
    <w:p>
      <w:pPr>
        <w:spacing w:after="0" w:line="29" w:lineRule="exact"/>
        <w:rPr>
          <w:sz w:val="24"/>
          <w:szCs w:val="24"/>
          <w:color w:val="auto"/>
        </w:rPr>
      </w:pPr>
    </w:p>
    <w:p>
      <w:pPr xmlns:w="http://schemas.openxmlformats.org/wordprocessingml/2006/main">
        <w:jc w:val="right"/>
        <w:ind w:left="380" w:right="360"/>
        <w:spacing w:after="0" w:line="320" w:lineRule="auto"/>
        <w:rPr>
          <w:sz w:val="24"/>
          <w:szCs w:val="24"/>
          <w:color w:val="auto"/>
        </w:rPr>
      </w:pPr>
      <w:r>
        <w:rPr xmlns:w="http://schemas.openxmlformats.org/wordprocessingml/2006/main">
          <w:rFonts w:ascii="Arial" w:cs="Arial" w:eastAsia="Arial" w:hAnsi="Arial"/>
          <w:sz w:val="14"/>
          <w:szCs w:val="14"/>
          <w:b w:val="1"/>
          <w:bCs w:val="1"/>
          <w:color w:val="auto"/>
        </w:rPr>
        <w:t xml:space="preserve">Κίνδυνος στον τομέα της ενέργειας:</w:t>
      </w:r>
      <w:r>
        <w:rPr xmlns:w="http://schemas.openxmlformats.org/wordprocessingml/2006/main">
          <w:rFonts w:ascii="Arial" w:cs="Arial" w:eastAsia="Arial" w:hAnsi="Arial"/>
          <w:sz w:val="14"/>
          <w:szCs w:val="14"/>
          <w:b w:val="1"/>
          <w:bCs w:val="1"/>
          <w:color w:val="auto"/>
        </w:rPr>
        <w:t xml:space="preserve"> Οι εταιρείες που δραστηριοποιούνται σε βιομηχανίες που σχετίζονται με την ενέργεια ενδέχεται να επηρεαστούν σημαντικά από τις διακυμάνσεις των τιμών της ενέργειας, της προσφοράς και της ζήτησης ενεργειακών καυσίμων.</w:t>
      </w:r>
      <w:r>
        <w:rPr xmlns:w="http://schemas.openxmlformats.org/wordprocessingml/2006/main">
          <w:rFonts w:ascii="Arial" w:cs="Arial" w:eastAsia="Arial" w:hAnsi="Arial"/>
          <w:sz w:val="14"/>
          <w:szCs w:val="14"/>
          <w:b w:val="1"/>
          <w:bCs w:val="1"/>
          <w:color w:val="auto"/>
        </w:rPr>
        <w:t xml:space="preserve"> Οι αγορές διαφόρων συνδεόμενων με την ενέργεια εμπορευμάτων μπορεί να παρουσιάζουν σημαντική μεταβλητότητα και υπόκεινται σε έλεγχο ή χειραγώγηση από μεγάλους παραγωγούς ή αγοραστές.</w:t>
      </w:r>
      <w:r>
        <w:rPr xmlns:w="http://schemas.openxmlformats.org/wordprocessingml/2006/main">
          <w:rFonts w:ascii="Arial" w:cs="Arial" w:eastAsia="Arial" w:hAnsi="Arial"/>
          <w:sz w:val="14"/>
          <w:szCs w:val="14"/>
          <w:b w:val="1"/>
          <w:bCs w:val="1"/>
          <w:color w:val="auto"/>
        </w:rPr>
        <w:t xml:space="preserve"> Ο ενεργειακός τομέας μπορεί</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391" w:lineRule="exact"/>
        <w:rPr>
          <w:sz w:val="24"/>
          <w:szCs w:val="24"/>
          <w:color w:val="auto"/>
        </w:rPr>
      </w:pPr>
    </w:p>
    <w:p>
      <w:pPr xmlns:w="http://schemas.openxmlformats.org/wordprocessingml/2006/main">
        <w:spacing w:after="0" w:line="334" w:lineRule="auto"/>
        <w:rPr>
          <w:sz w:val="20"/>
          <w:szCs w:val="20"/>
          <w:color w:val="auto"/>
        </w:rPr>
      </w:pPr>
      <w:r>
        <w:rPr xmlns:w="http://schemas.openxmlformats.org/wordprocessingml/2006/main">
          <w:rFonts w:ascii="Arial" w:cs="Arial" w:eastAsia="Arial" w:hAnsi="Arial"/>
          <w:sz w:val="14"/>
          <w:szCs w:val="14"/>
          <w:b w:val="1"/>
          <w:bCs w:val="1"/>
          <w:color w:val="auto"/>
        </w:rPr>
        <w:t xml:space="preserve">να προβούν σε σημαντικές επενδύσεις ή να υποστούν σημαντικές οφειλές, προκειμένου να διατηρήσουν ή να επεκτείνουν τα αποθεματικά τους.»</w:t>
      </w:r>
    </w:p>
    <w:p>
      <w:pPr>
        <w:spacing w:after="0" w:line="1" w:lineRule="exact"/>
        <w:rPr>
          <w:sz w:val="24"/>
          <w:szCs w:val="24"/>
          <w:color w:val="auto"/>
        </w:rPr>
      </w:pPr>
    </w:p>
    <w:p>
      <w:pPr xmlns:w="http://schemas.openxmlformats.org/wordprocessingml/2006/main">
        <w:spacing w:after="0" w:line="294" w:lineRule="auto"/>
        <w:rPr>
          <w:sz w:val="24"/>
          <w:szCs w:val="24"/>
          <w:color w:val="auto"/>
        </w:rPr>
      </w:pPr>
      <w:r>
        <w:rPr xmlns:w="http://schemas.openxmlformats.org/wordprocessingml/2006/main">
          <w:rFonts w:ascii="Arial" w:cs="Arial" w:eastAsia="Arial" w:hAnsi="Arial"/>
          <w:sz w:val="15"/>
          <w:szCs w:val="15"/>
          <w:b w:val="1"/>
          <w:bCs w:val="1"/>
          <w:color w:val="auto"/>
        </w:rPr>
        <w:t xml:space="preserve">Οι Εταιρείες Ουρανίου Κινδυνεύουν:</w:t>
      </w:r>
      <w:r>
        <w:rPr xmlns:w="http://schemas.openxmlformats.org/wordprocessingml/2006/main">
          <w:rFonts w:ascii="Arial" w:cs="Arial" w:eastAsia="Arial" w:hAnsi="Arial"/>
          <w:sz w:val="15"/>
          <w:szCs w:val="15"/>
          <w:b w:val="1"/>
          <w:bCs w:val="1"/>
          <w:color w:val="auto"/>
        </w:rPr>
        <w:t xml:space="preserve"> Οι εταιρείες ουρανίου ενδέχεται να υπόκεινται σε σημαντικό βαθμό στις επιπτώσεις των ανταγωνιστικών πιέσεων και της τιμής του ουρανίου.</w:t>
      </w:r>
      <w:r>
        <w:rPr xmlns:w="http://schemas.openxmlformats.org/wordprocessingml/2006/main">
          <w:rFonts w:ascii="Arial" w:cs="Arial" w:eastAsia="Arial" w:hAnsi="Arial"/>
          <w:sz w:val="15"/>
          <w:szCs w:val="15"/>
          <w:b w:val="1"/>
          <w:bCs w:val="1"/>
          <w:color w:val="auto"/>
        </w:rPr>
        <w:t xml:space="preserve"> Η τιμή του ουρανίου μπορεί να επηρεαστεί από τις μεταβολές των επιτοκίων, των επιτοκίων, της νομισματικής πολιτικής, των οικονομικών συνθηκών και της πολιτικής σταθερότητας.</w:t>
      </w:r>
      <w:r>
        <w:rPr xmlns:w="http://schemas.openxmlformats.org/wordprocessingml/2006/main">
          <w:rFonts w:ascii="Arial" w:cs="Arial" w:eastAsia="Arial" w:hAnsi="Arial"/>
          <w:sz w:val="15"/>
          <w:szCs w:val="15"/>
          <w:b w:val="1"/>
          <w:bCs w:val="1"/>
          <w:color w:val="auto"/>
        </w:rPr>
        <w:t xml:space="preserve"> Η τιμή του ουρανίου μπορεί να κυμαίνεται σημαντικά σε μικρές χρονικές περιόδους, επομένως η ΚΑΕ του Ταμείου μπορεί να είναι πιο ευμετάβλητη από άλλους τύπους επενδύσεων.</w:t>
      </w:r>
    </w:p>
    <w:p>
      <w:pPr>
        <w:spacing w:after="0" w:line="1" w:lineRule="exact"/>
        <w:rPr>
          <w:sz w:val="24"/>
          <w:szCs w:val="24"/>
          <w:color w:val="auto"/>
        </w:rPr>
      </w:pPr>
    </w:p>
    <w:p>
      <w:pPr xmlns:w="http://schemas.openxmlformats.org/wordprocessingml/2006/main">
        <w:spacing w:after="0" w:line="311" w:lineRule="auto"/>
        <w:rPr>
          <w:sz w:val="24"/>
          <w:szCs w:val="24"/>
          <w:color w:val="auto"/>
        </w:rPr>
      </w:pPr>
      <w:r>
        <w:rPr xmlns:w="http://schemas.openxmlformats.org/wordprocessingml/2006/main">
          <w:rFonts w:ascii="Arial" w:cs="Arial" w:eastAsia="Arial" w:hAnsi="Arial"/>
          <w:sz w:val="14"/>
          <w:szCs w:val="14"/>
          <w:b w:val="1"/>
          <w:bCs w:val="1"/>
          <w:color w:val="auto"/>
        </w:rPr>
        <w:t xml:space="preserve">Κίνδυνος Έκθεσης Σε Εμπορεύματα:</w:t>
      </w:r>
      <w:r>
        <w:rPr xmlns:w="http://schemas.openxmlformats.org/wordprocessingml/2006/main">
          <w:rFonts w:ascii="Arial" w:cs="Arial" w:eastAsia="Arial" w:hAnsi="Arial"/>
          <w:sz w:val="14"/>
          <w:szCs w:val="14"/>
          <w:b w:val="1"/>
          <w:bCs w:val="1"/>
          <w:color w:val="auto"/>
        </w:rPr>
        <w:t xml:space="preserve"> Το Ταμείο επενδύει σε εταιρείες ουρανίου, οι οποίες ενδέχεται να είναι ευαίσθητες στις διακυμάνσεις της υποκείμενης αγοράς βασικών εμπορευμάτων.</w:t>
      </w:r>
      <w:r>
        <w:rPr xmlns:w="http://schemas.openxmlformats.org/wordprocessingml/2006/main">
          <w:rFonts w:ascii="Arial" w:cs="Arial" w:eastAsia="Arial" w:hAnsi="Arial"/>
          <w:sz w:val="14"/>
          <w:szCs w:val="14"/>
          <w:b w:val="1"/>
          <w:bCs w:val="1"/>
          <w:color w:val="auto"/>
        </w:rPr>
        <w:t xml:space="preserve"> Οι τίτλοι των εταιρειών που κατέχονται από το Ταμείο και εξαρτώνται από ένα μόνο βασικό εμπόρευμα ή συγκεντρώνονται σε έναν ενιαίο τομέα βασικών εμπορευμάτων, μπορεί τυπικά να εμφανίζουν ακόμη μεγαλύτερη μεταβλητότητα που αποδίδεται στις τιμές των βασικών εμπορευμάτων.</w:t>
      </w:r>
      <w:r>
        <w:rPr xmlns:w="http://schemas.openxmlformats.org/wordprocessingml/2006/main">
          <w:rFonts w:ascii="Arial" w:cs="Arial" w:eastAsia="Arial" w:hAnsi="Arial"/>
          <w:sz w:val="14"/>
          <w:szCs w:val="14"/>
          <w:b w:val="1"/>
          <w:bCs w:val="1"/>
          <w:color w:val="auto"/>
        </w:rPr>
        <w:t xml:space="preserve"> Ο Δείκτης μετρά την απόδοση των επιχειρήσεων ουρανίου και όχι την απόδοση της τιμής του ίδιου του ουρανίου.</w:t>
      </w:r>
      <w:r>
        <w:rPr xmlns:w="http://schemas.openxmlformats.org/wordprocessingml/2006/main">
          <w:rFonts w:ascii="Arial" w:cs="Arial" w:eastAsia="Arial" w:hAnsi="Arial"/>
          <w:sz w:val="14"/>
          <w:szCs w:val="14"/>
          <w:b w:val="1"/>
          <w:bCs w:val="1"/>
          <w:color w:val="auto"/>
        </w:rPr>
        <w:t xml:space="preserve"> Οι τίτλοι των εταιρειών ουρανίου μπορούν να μειώσουν ή να υπερβούν την τιμή του ουρανίου βραχυπρόθεσμα ή μακροπρόθεσμα</w:t>
      </w:r>
      <w:r>
        <w:rPr xmlns:w="http://schemas.openxmlformats.org/wordprocessingml/2006/main">
          <w:rFonts w:ascii="Arial" w:cs="Arial" w:eastAsia="Arial" w:hAnsi="Arial"/>
          <w:sz w:val="18"/>
          <w:szCs w:val="18"/>
          <w:b w:val="1"/>
          <w:bCs w:val="1"/>
          <w:color w:val="auto"/>
        </w:rPr>
        <w:t xml:space="preserve">.</w:t>
      </w:r>
    </w:p>
    <w:p>
      <w:pPr>
        <w:spacing w:after="0" w:line="7" w:lineRule="exact"/>
        <w:rPr>
          <w:sz w:val="24"/>
          <w:szCs w:val="24"/>
          <w:color w:val="auto"/>
        </w:rPr>
      </w:pPr>
    </w:p>
    <w:p>
      <w:pPr xmlns:w="http://schemas.openxmlformats.org/wordprocessingml/2006/main">
        <w:jc w:val="right"/>
        <w:spacing w:after="0" w:line="324" w:lineRule="auto"/>
        <w:rPr>
          <w:sz w:val="24"/>
          <w:szCs w:val="24"/>
          <w:color w:val="auto"/>
        </w:rPr>
      </w:pPr>
      <w:r>
        <w:rPr xmlns:w="http://schemas.openxmlformats.org/wordprocessingml/2006/main">
          <w:rFonts w:ascii="Arial" w:cs="Arial" w:eastAsia="Arial" w:hAnsi="Arial"/>
          <w:sz w:val="14"/>
          <w:szCs w:val="14"/>
          <w:b w:val="1"/>
          <w:bCs w:val="1"/>
          <w:color w:val="auto"/>
        </w:rPr>
        <w:t xml:space="preserve">Γεωγραφικός επενδυτικός κίνδυνος:</w:t>
      </w:r>
      <w:r>
        <w:rPr xmlns:w="http://schemas.openxmlformats.org/wordprocessingml/2006/main">
          <w:rFonts w:ascii="Arial" w:cs="Arial" w:eastAsia="Arial" w:hAnsi="Arial"/>
          <w:sz w:val="14"/>
          <w:szCs w:val="14"/>
          <w:b w:val="1"/>
          <w:bCs w:val="1"/>
          <w:color w:val="auto"/>
        </w:rPr>
        <w:t xml:space="preserve"> Το Ταμείο επενδύει σημαντικό μέρος των περιουσιακών του στοιχείων στους τίτλους μιας μόνο χώρας ή περιφέρειας και η απόδοση του Ταμείου ενδέχεται να επηρεαστεί από γεγονότα ή συνθήκες που επηρεάζουν τη χώρα ή την περιφέρεια αυτή.</w:t>
      </w:r>
      <w:r>
        <w:rPr xmlns:w="http://schemas.openxmlformats.org/wordprocessingml/2006/main">
          <w:rFonts w:ascii="Arial" w:cs="Arial" w:eastAsia="Arial" w:hAnsi="Arial"/>
          <w:sz w:val="14"/>
          <w:szCs w:val="14"/>
          <w:b w:val="1"/>
          <w:bCs w:val="1"/>
          <w:color w:val="auto"/>
        </w:rPr>
        <w:t xml:space="preserve"> Τα γεγονότα αυτά περιλαμβάνουν, μεταξύ άλλων,</w:t>
      </w:r>
    </w:p>
    <w:p>
      <w:pPr>
        <w:sectPr>
          <w:pgSz w:w="12240" w:h="15840" w:orient="portrait"/>
          <w:cols w:equalWidth="0" w:num="2">
            <w:col w:w="4860" w:space="720"/>
            <w:col w:w="4120"/>
          </w:cols>
          <w:pgMar w:left="1340" w:top="1440" w:right="1200" w:bottom="598" w:gutter="0" w:footer="0" w:header="0"/>
          <w:type w:val="continuous"/>
        </w:sectPr>
      </w:pPr>
    </w:p>
    <w:bookmarkStart w:id="1" w:name="page2"/>
    <w:bookmarkEnd w:id="1"/>
    <w:p>
      <w:pPr xmlns:w="http://schemas.openxmlformats.org/wordprocessingml/2006/main">
        <w:ind w:left="280" w:right="80"/>
        <w:spacing w:after="0" w:line="261" w:lineRule="auto"/>
        <w:rPr>
          <w:sz w:val="20"/>
          <w:szCs w:val="20"/>
          <w:color w:val="auto"/>
        </w:rPr>
      </w:pPr>
      <w:r>
        <w:rPr xmlns:w="http://schemas.openxmlformats.org/wordprocessingml/2006/main">
          <w:rFonts w:ascii="Arial" w:cs="Arial" w:eastAsia="Arial" w:hAnsi="Arial"/>
          <w:sz w:val="17"/>
          <w:szCs w:val="17"/>
          <w:b w:val="1"/>
          <w:bCs w:val="1"/>
          <w:color w:val="auto"/>
        </w:rPr>
        <w:t xml:space="preserve">οικονομικές συνθήκες και αλλαγές στη ρυθμιστική, φορολογική ή οικονομική πολιτική.</w:t>
      </w:r>
    </w:p>
    <w:p>
      <w:pPr>
        <w:spacing w:after="0" w:line="24" w:lineRule="exact"/>
        <w:rPr>
          <w:sz w:val="20"/>
          <w:szCs w:val="20"/>
          <w:color w:val="auto"/>
        </w:rPr>
      </w:pPr>
    </w:p>
    <w:p>
      <w:pPr xmlns:w="http://schemas.openxmlformats.org/wordprocessingml/2006/main">
        <w:ind w:left="280" w:right="80"/>
        <w:spacing w:after="0" w:line="276" w:lineRule="auto"/>
        <w:rPr>
          <w:sz w:val="20"/>
          <w:szCs w:val="20"/>
          <w:color w:val="auto"/>
        </w:rPr>
      </w:pPr>
      <w:r>
        <w:rPr xmlns:w="http://schemas.openxmlformats.org/wordprocessingml/2006/main">
          <w:rFonts w:ascii="Arial" w:cs="Arial" w:eastAsia="Arial" w:hAnsi="Arial"/>
          <w:sz w:val="16"/>
          <w:szCs w:val="16"/>
          <w:b w:val="1"/>
          <w:bCs w:val="1"/>
          <w:color w:val="auto"/>
        </w:rPr>
        <w:t xml:space="preserve">Κίνδυνος αναδυόμενης αγοράς:</w:t>
      </w:r>
      <w:r>
        <w:rPr xmlns:w="http://schemas.openxmlformats.org/wordprocessingml/2006/main">
          <w:rFonts w:ascii="Arial" w:cs="Arial" w:eastAsia="Arial" w:hAnsi="Arial"/>
          <w:sz w:val="16"/>
          <w:szCs w:val="16"/>
          <w:b w:val="1"/>
          <w:bCs w:val="1"/>
          <w:color w:val="auto"/>
        </w:rPr>
        <w:t xml:space="preserve"> Το Ταμείο μπορεί να επενδύει σε εταιρείες που εδρεύουν σε αναδυόμενες αγορές, οι οποίες ενδέχεται να ενέχουν πρόσθετους κινδύνους που δεν συνδέονται συνήθως με άλλες πιο εδραιωμένες αγορές, όπως ο αυξημένος κίνδυνος κοινωνικής, οικονομικής και πολιτικής αβεβαιότητας.</w:t>
      </w:r>
    </w:p>
    <w:p>
      <w:pPr>
        <w:spacing w:after="0" w:line="12" w:lineRule="exact"/>
        <w:rPr>
          <w:sz w:val="20"/>
          <w:szCs w:val="20"/>
          <w:color w:val="auto"/>
        </w:rPr>
      </w:pPr>
    </w:p>
    <w:p>
      <w:pPr xmlns:w="http://schemas.openxmlformats.org/wordprocessingml/2006/main">
        <w:ind w:left="280" w:right="60"/>
        <w:spacing w:after="0" w:line="319" w:lineRule="auto"/>
        <w:rPr>
          <w:sz w:val="20"/>
          <w:szCs w:val="20"/>
          <w:color w:val="auto"/>
        </w:rPr>
      </w:pPr>
      <w:r>
        <w:rPr xmlns:w="http://schemas.openxmlformats.org/wordprocessingml/2006/main">
          <w:rFonts w:ascii="Arial" w:cs="Arial" w:eastAsia="Arial" w:hAnsi="Arial"/>
          <w:sz w:val="14"/>
          <w:szCs w:val="14"/>
          <w:b w:val="1"/>
          <w:bCs w:val="1"/>
          <w:color w:val="auto"/>
        </w:rPr>
        <w:t xml:space="preserve">Συναλλαγματικός κίνδυνος:</w:t>
      </w:r>
      <w:r>
        <w:rPr xmlns:w="http://schemas.openxmlformats.org/wordprocessingml/2006/main">
          <w:rFonts w:ascii="Arial" w:cs="Arial" w:eastAsia="Arial" w:hAnsi="Arial"/>
          <w:sz w:val="14"/>
          <w:szCs w:val="14"/>
          <w:b w:val="1"/>
          <w:bCs w:val="1"/>
          <w:color w:val="auto"/>
        </w:rPr>
        <w:t xml:space="preserve"> Το Ταμείο επενδύει σε τίτλους εκφρασμένους σε νομίσματα διαφορετικά από το βασικό του νόμισμα.</w:t>
      </w:r>
      <w:r>
        <w:rPr xmlns:w="http://schemas.openxmlformats.org/wordprocessingml/2006/main">
          <w:rFonts w:ascii="Arial" w:cs="Arial" w:eastAsia="Arial" w:hAnsi="Arial"/>
          <w:sz w:val="14"/>
          <w:szCs w:val="14"/>
          <w:b w:val="1"/>
          <w:bCs w:val="1"/>
          <w:color w:val="auto"/>
        </w:rPr>
        <w:t xml:space="preserve"> Οι μεταβολές στις συναλλαγματικές ισοτιμίες ενδέχεται να επηρεάσουν δυσμενώς την απόδοση του Ταμείου.</w:t>
      </w:r>
      <w:r>
        <w:rPr xmlns:w="http://schemas.openxmlformats.org/wordprocessingml/2006/main">
          <w:rFonts w:ascii="Arial" w:cs="Arial" w:eastAsia="Arial" w:hAnsi="Arial"/>
          <w:sz w:val="14"/>
          <w:szCs w:val="14"/>
          <w:b w:val="1"/>
          <w:bCs w:val="1"/>
          <w:color w:val="auto"/>
        </w:rPr>
        <w:t xml:space="preserve"> Οι κίνδυνοι που δεν καλύπτονται από τον δείκτη, αλλά έχουν ουσιαστική σημασία για το Ταμείο περιλαμβάνουν:</w:t>
      </w:r>
    </w:p>
    <w:p>
      <w:pPr xmlns:w="http://schemas.openxmlformats.org/wordprocessingml/2006/main">
        <w:jc w:val="right"/>
        <w:ind w:left="280" w:right="80"/>
        <w:spacing w:after="0" w:line="372" w:lineRule="auto"/>
        <w:rPr>
          <w:sz w:val="20"/>
          <w:szCs w:val="20"/>
          <w:color w:val="auto"/>
        </w:rPr>
      </w:pPr>
      <w:r>
        <w:rPr xmlns:w="http://schemas.openxmlformats.org/wordprocessingml/2006/main">
          <w:rFonts w:ascii="Arial" w:cs="Arial" w:eastAsia="Arial" w:hAnsi="Arial"/>
          <w:sz w:val="14"/>
          <w:szCs w:val="14"/>
          <w:b w:val="1"/>
          <w:bCs w:val="1"/>
          <w:color w:val="auto"/>
        </w:rPr>
        <w:t xml:space="preserve">Κίνδυνος σφάλματος παρακολούθησης:</w:t>
      </w:r>
      <w:r>
        <w:rPr xmlns:w="http://schemas.openxmlformats.org/wordprocessingml/2006/main">
          <w:rFonts w:ascii="Arial" w:cs="Arial" w:eastAsia="Arial" w:hAnsi="Arial"/>
          <w:sz w:val="14"/>
          <w:szCs w:val="14"/>
          <w:b w:val="1"/>
          <w:bCs w:val="1"/>
          <w:color w:val="auto"/>
        </w:rPr>
        <w:t xml:space="preserve"> Η απόδοση του Ταμείου ενδέχεται να μην ακολουθεί επακριβώς τον Δείκτη.</w:t>
      </w:r>
      <w:r>
        <w:rPr xmlns:w="http://schemas.openxmlformats.org/wordprocessingml/2006/main">
          <w:rFonts w:ascii="Arial" w:cs="Arial" w:eastAsia="Arial" w:hAnsi="Arial"/>
          <w:sz w:val="14"/>
          <w:szCs w:val="14"/>
          <w:b w:val="1"/>
          <w:bCs w:val="1"/>
          <w:color w:val="auto"/>
        </w:rPr>
        <w:t xml:space="preserve"> Αυτό μπορεί να προκύψει από τις διακυμάνσεις της αγοράς.</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jc w:val="both"/>
        <w:ind w:left="280"/>
        <w:spacing w:after="0" w:line="257" w:lineRule="auto"/>
        <w:rPr>
          <w:sz w:val="20"/>
          <w:szCs w:val="20"/>
          <w:color w:val="auto"/>
        </w:rPr>
      </w:pPr>
      <w:r>
        <w:rPr xmlns:w="http://schemas.openxmlformats.org/wordprocessingml/2006/main">
          <w:rFonts w:ascii="Arial" w:cs="Arial" w:eastAsia="Arial" w:hAnsi="Arial"/>
          <w:sz w:val="17"/>
          <w:szCs w:val="17"/>
          <w:b w:val="1"/>
          <w:bCs w:val="1"/>
          <w:color w:val="auto"/>
        </w:rPr>
        <w:t xml:space="preserve">μεταβολές στη σύνθεση του δείκτη, το κόστος συναλλαγών, το κόστος πραγματοποίησης αλλαγών στο χαρτοφυλάκιο του Ταμείου και άλλες δαπάνες του Ταμείου.</w:t>
      </w:r>
    </w:p>
    <w:p>
      <w:pPr>
        <w:spacing w:after="0" w:line="27" w:lineRule="exact"/>
        <w:rPr>
          <w:sz w:val="20"/>
          <w:szCs w:val="20"/>
          <w:color w:val="auto"/>
        </w:rPr>
      </w:pPr>
    </w:p>
    <w:p>
      <w:pPr xmlns:w="http://schemas.openxmlformats.org/wordprocessingml/2006/main">
        <w:ind w:left="280"/>
        <w:spacing w:after="0" w:line="293" w:lineRule="auto"/>
        <w:rPr>
          <w:sz w:val="20"/>
          <w:szCs w:val="20"/>
          <w:color w:val="auto"/>
        </w:rPr>
      </w:pPr>
      <w:r>
        <w:rPr xmlns:w="http://schemas.openxmlformats.org/wordprocessingml/2006/main">
          <w:rFonts w:ascii="Arial" w:cs="Arial" w:eastAsia="Arial" w:hAnsi="Arial"/>
          <w:sz w:val="15"/>
          <w:szCs w:val="15"/>
          <w:b w:val="1"/>
          <w:bCs w:val="1"/>
          <w:color w:val="auto"/>
        </w:rPr>
        <w:t xml:space="preserve">Ρευστότητα σε κίνδυνο δευτερογενούς αγοράς:</w:t>
      </w:r>
      <w:r>
        <w:rPr xmlns:w="http://schemas.openxmlformats.org/wordprocessingml/2006/main">
          <w:rFonts w:ascii="Arial" w:cs="Arial" w:eastAsia="Arial" w:hAnsi="Arial"/>
          <w:sz w:val="15"/>
          <w:szCs w:val="15"/>
          <w:b w:val="1"/>
          <w:bCs w:val="1"/>
          <w:color w:val="auto"/>
        </w:rPr>
        <w:t xml:space="preserve"> Δεν μπορεί να είναι βέβαιο ότι οι μετοχές μπορούν πάντα να αγοράζονται ή να πωλούνται σε χρηματιστήριο ή ότι η αγοραία τιμή θα αντικατοπτρίζει την ΚΑΕ του Ταμείου.</w:t>
      </w:r>
      <w:r>
        <w:rPr xmlns:w="http://schemas.openxmlformats.org/wordprocessingml/2006/main">
          <w:rFonts w:ascii="Arial" w:cs="Arial" w:eastAsia="Arial" w:hAnsi="Arial"/>
          <w:sz w:val="15"/>
          <w:szCs w:val="15"/>
          <w:b w:val="1"/>
          <w:bCs w:val="1"/>
          <w:color w:val="auto"/>
        </w:rPr>
        <w:t xml:space="preserve"> Μπορεί να είναι δύσκολο για το Ταμείο να αγοράσει ή να πωλήσει ορισμένες επενδύσεις σε ορισμένες συνθήκες της αγοράς.</w:t>
      </w:r>
      <w:r>
        <w:rPr xmlns:w="http://schemas.openxmlformats.org/wordprocessingml/2006/main">
          <w:rFonts w:ascii="Arial" w:cs="Arial" w:eastAsia="Arial" w:hAnsi="Arial"/>
          <w:sz w:val="15"/>
          <w:szCs w:val="15"/>
          <w:b w:val="1"/>
          <w:bCs w:val="1"/>
          <w:color w:val="auto"/>
        </w:rPr>
        <w:t xml:space="preserve"> Κατά συνέπεια, η τιμή που λαμβάνεται όταν το Ταμείο αγοράζει ή πωλεί τίτλους μπορεί να συγκριθεί δυσμενώς με την τιμή υπό κανονικές συνθήκες αγοράς.</w:t>
      </w:r>
    </w:p>
    <w:p>
      <w:pPr>
        <w:spacing w:after="0" w:line="5" w:lineRule="exact"/>
        <w:rPr>
          <w:sz w:val="20"/>
          <w:szCs w:val="20"/>
          <w:color w:val="auto"/>
        </w:rPr>
      </w:pPr>
    </w:p>
    <w:p>
      <w:pPr xmlns:w="http://schemas.openxmlformats.org/wordprocessingml/2006/main">
        <w:jc w:val="both"/>
        <w:spacing w:after="0" w:line="259" w:lineRule="auto"/>
        <w:rPr>
          <w:sz w:val="20"/>
          <w:szCs w:val="20"/>
          <w:color w:val="auto"/>
        </w:rPr>
      </w:pPr>
      <w:r>
        <w:rPr xmlns:w="http://schemas.openxmlformats.org/wordprocessingml/2006/main">
          <w:rFonts w:ascii="Arial" w:cs="Arial" w:eastAsia="Arial" w:hAnsi="Arial"/>
          <w:sz w:val="17"/>
          <w:szCs w:val="17"/>
          <w:b w:val="1"/>
          <w:bCs w:val="1"/>
          <w:color w:val="auto"/>
        </w:rPr>
        <w:t xml:space="preserve">Για μια πλήρη επισκόπηση όλων των κινδύνων που συνδέονται με το παρόν Ταμείο, ανατρέξτε στην ενότητα με τίτλο «Παράγοντες κινδύνου» στο Συμπλήρωμα και στο Ενημερωτικό Δελτίο.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-3295015</wp:posOffset>
            </wp:positionH>
            <wp:positionV relativeFrom="paragraph">
              <wp:posOffset>122555</wp:posOffset>
            </wp:positionV>
            <wp:extent cx="6163310" cy="2425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6163310" cy="242570"/>
                    </a:xfrm>
                    <a:prstGeom prst="rect">
                      <a:avLst/>
                    </a:prstGeom>
                    <a:noFill/>
                  </pic:spPr>
                </pic:pic>
              </a:graphicData>
            </a:graphic>
          </wp:anchor>
        </w:drawing>
      </w:r>
    </w:p>
    <w:p>
      <w:pPr>
        <w:spacing w:after="0" w:line="250" w:lineRule="exact"/>
        <w:rPr>
          <w:sz w:val="20"/>
          <w:szCs w:val="20"/>
          <w:color w:val="auto"/>
        </w:rPr>
      </w:pPr>
    </w:p>
    <w:p>
      <w:pPr>
        <w:sectPr>
          <w:pgSz w:w="12240" w:h="15840" w:orient="portrait"/>
          <w:cols w:equalWidth="0" w:num="2">
            <w:col w:w="4480" w:space="720"/>
            <w:col w:w="4400"/>
          </w:cols>
          <w:pgMar w:left="1440" w:top="679" w:right="1200" w:bottom="448" w:gutter="0" w:footer="0" w:header="0"/>
        </w:sect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23"/>
          <w:szCs w:val="23"/>
          <w:b w:val="1"/>
          <w:bCs w:val="1"/>
          <w:color w:val="auto"/>
        </w:rPr>
        <w:t xml:space="preserve">Χρεώσεις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38100</wp:posOffset>
            </wp:positionV>
            <wp:extent cx="6163310" cy="635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6163310" cy="6350"/>
                    </a:xfrm>
                    <a:prstGeom prst="rect">
                      <a:avLst/>
                    </a:prstGeom>
                    <a:noFill/>
                  </pic:spPr>
                </pic:pic>
              </a:graphicData>
            </a:graphic>
          </wp:anchor>
        </w:drawing>
      </w:r>
    </w:p>
    <w:p>
      <w:pPr>
        <w:spacing w:after="0" w:line="235" w:lineRule="exact"/>
        <w:rPr>
          <w:sz w:val="20"/>
          <w:szCs w:val="20"/>
          <w:color w:val="auto"/>
        </w:rPr>
      </w:pPr>
    </w:p>
    <w:p>
      <w:pPr xmlns:w="http://schemas.openxmlformats.org/wordprocessingml/2006/main">
        <w:jc w:val="both"/>
        <w:ind w:left="120"/>
        <w:spacing w:after="0" w:line="282" w:lineRule="auto"/>
        <w:rPr>
          <w:sz w:val="20"/>
          <w:szCs w:val="20"/>
          <w:color w:val="auto"/>
        </w:rPr>
      </w:pPr>
      <w:r>
        <w:rPr xmlns:w="http://schemas.openxmlformats.org/wordprocessingml/2006/main">
          <w:rFonts w:ascii="Arial" w:cs="Arial" w:eastAsia="Arial" w:hAnsi="Arial"/>
          <w:sz w:val="16"/>
          <w:szCs w:val="16"/>
          <w:b w:val="1"/>
          <w:bCs w:val="1"/>
          <w:color w:val="auto"/>
        </w:rPr>
        <w:t xml:space="preserve">Οι χρεώσεις που πληρώνετε χρησιμοποιούνται για την πληρωμή των εξόδων λειτουργίας του Ταμείου, συμπεριλαμβανομένων των εξόδων μάρκετινγκ και διανομής.</w:t>
      </w:r>
      <w:r>
        <w:rPr xmlns:w="http://schemas.openxmlformats.org/wordprocessingml/2006/main">
          <w:rFonts w:ascii="Arial" w:cs="Arial" w:eastAsia="Arial" w:hAnsi="Arial"/>
          <w:sz w:val="16"/>
          <w:szCs w:val="16"/>
          <w:b w:val="1"/>
          <w:bCs w:val="1"/>
          <w:color w:val="auto"/>
        </w:rPr>
        <w:t xml:space="preserve"> Αυτές οι χρεώσεις μειώνουν τη δυνητική ανάπτυξη της επένδυσής σας.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212090</wp:posOffset>
            </wp:positionH>
            <wp:positionV relativeFrom="paragraph">
              <wp:posOffset>112395</wp:posOffset>
            </wp:positionV>
            <wp:extent cx="2875915" cy="16891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2875915" cy="168910"/>
                    </a:xfrm>
                    <a:prstGeom prst="rect">
                      <a:avLst/>
                    </a:prstGeom>
                    <a:noFill/>
                  </pic:spPr>
                </pic:pic>
              </a:graphicData>
            </a:graphic>
          </wp:anchor>
        </w:drawing>
      </w:r>
    </w:p>
    <w:p>
      <w:pPr>
        <w:spacing w:after="0" w:line="188" w:lineRule="exact"/>
        <w:rPr>
          <w:sz w:val="20"/>
          <w:szCs w:val="20"/>
          <w:color w:val="auto"/>
        </w:rPr>
      </w:pPr>
    </w:p>
    <w:tbl>
      <w:tblPr>
        <w:tblLayout w:type="fixed"/>
        <w:tblInd w:w="440" w:type="dxa"/>
        <w:tblCellMar>
          <w:top w:w="0" w:type="dxa"/>
          <w:left w:w="0" w:type="dxa"/>
          <w:bottom w:w="0" w:type="dxa"/>
          <w:right w:w="0" w:type="dxa"/>
        </w:tblCellMar>
      </w:tblPr>
      <w:tr>
        <w:trPr>
          <w:trHeight w:val="205"/>
        </w:trPr>
        <w:tc>
          <w:tcPr>
            <w:tcW w:w="36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auto"/>
                <w:w w:val="93"/>
              </w:rPr>
              <w:t xml:space="preserve">Εφάπαξ χρεώσεις που αναλήφθηκαν πριν ή μετά την επένδυση</w:t>
            </w:r>
          </w:p>
        </w:tc>
        <w:tc>
          <w:tcPr>
            <w:tcW w:w="680" w:type="dxa"/>
            <w:vAlign w:val="bottom"/>
          </w:tcPr>
          <w:p>
            <w:pPr>
              <w:spacing w:after="0"/>
              <w:rPr>
                <w:sz w:val="17"/>
                <w:szCs w:val="17"/>
                <w:color w:val="auto"/>
              </w:rPr>
            </w:pPr>
          </w:p>
        </w:tc>
      </w:tr>
      <w:tr>
        <w:trPr>
          <w:trHeight w:val="235"/>
        </w:trPr>
        <w:tc>
          <w:tcPr>
            <w:tcW w:w="36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Τέλος εισόδου</w:t>
            </w:r>
          </w:p>
        </w:tc>
        <w:tc>
          <w:tcPr>
            <w:tcW w:w="68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0%*</w:t>
            </w:r>
          </w:p>
        </w:tc>
      </w:tr>
      <w:tr>
        <w:trPr>
          <w:trHeight w:val="216"/>
        </w:trPr>
        <w:tc>
          <w:tcPr>
            <w:tcW w:w="36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Τέλος εξόδου</w:t>
            </w:r>
          </w:p>
        </w:tc>
        <w:tc>
          <w:tcPr>
            <w:tcW w:w="68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0%*</w:t>
            </w:r>
          </w:p>
        </w:tc>
      </w:tr>
      <w:tr>
        <w:trPr>
          <w:trHeight w:val="451"/>
        </w:trPr>
        <w:tc>
          <w:tcPr>
            <w:tcW w:w="36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Εισπραχθείσες επιβαρύνσεις από το Ταμείο επί ένα έτος</w:t>
            </w:r>
          </w:p>
        </w:tc>
        <w:tc>
          <w:tcPr>
            <w:tcW w:w="680" w:type="dxa"/>
            <w:vAlign w:val="bottom"/>
          </w:tcPr>
          <w:p>
            <w:pPr>
              <w:spacing w:after="0"/>
              <w:rPr>
                <w:sz w:val="24"/>
                <w:szCs w:val="24"/>
                <w:color w:val="auto"/>
              </w:rPr>
            </w:pPr>
          </w:p>
        </w:tc>
      </w:tr>
      <w:tr>
        <w:trPr>
          <w:trHeight w:val="238"/>
        </w:trPr>
        <w:tc>
          <w:tcPr>
            <w:tcW w:w="36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Συνεχιζόμενες χρεώσεις</w:t>
            </w:r>
          </w:p>
        </w:tc>
        <w:tc>
          <w:tcPr>
            <w:tcW w:w="68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0,85%**</w:t>
            </w:r>
          </w:p>
        </w:tc>
      </w:tr>
      <w:tr>
        <w:trPr>
          <w:trHeight w:val="422"/>
        </w:trPr>
        <w:tc>
          <w:tcPr>
            <w:tcW w:w="36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auto"/>
                <w:w w:val="87"/>
              </w:rPr>
              <w:t xml:space="preserve">Οι δαπάνες που βαρύνουν το Ταμείο στο πλαίσιο ορισμένων</w:t>
            </w:r>
          </w:p>
        </w:tc>
        <w:tc>
          <w:tcPr>
            <w:tcW w:w="680" w:type="dxa"/>
            <w:vAlign w:val="bottom"/>
          </w:tcPr>
          <w:p>
            <w:pPr>
              <w:spacing w:after="0"/>
              <w:rPr>
                <w:sz w:val="24"/>
                <w:szCs w:val="24"/>
                <w:color w:val="auto"/>
              </w:rPr>
            </w:pPr>
          </w:p>
        </w:tc>
      </w:tr>
      <w:tr>
        <w:trPr>
          <w:trHeight w:val="206"/>
        </w:trPr>
        <w:tc>
          <w:tcPr>
            <w:tcW w:w="36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συνθήκες</w:t>
            </w:r>
          </w:p>
        </w:tc>
        <w:tc>
          <w:tcPr>
            <w:tcW w:w="680" w:type="dxa"/>
            <w:vAlign w:val="bottom"/>
          </w:tcPr>
          <w:p>
            <w:pPr>
              <w:spacing w:after="0"/>
              <w:rPr>
                <w:sz w:val="17"/>
                <w:szCs w:val="17"/>
                <w:color w:val="auto"/>
              </w:rPr>
            </w:pPr>
          </w:p>
        </w:tc>
      </w:tr>
      <w:tr>
        <w:trPr>
          <w:trHeight w:val="209"/>
        </w:trPr>
        <w:tc>
          <w:tcPr>
            <w:tcW w:w="36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Αμοιβή επίδοσης</w:t>
            </w:r>
          </w:p>
        </w:tc>
        <w:tc>
          <w:tcPr>
            <w:tcW w:w="68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Κανένα</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212090</wp:posOffset>
            </wp:positionH>
            <wp:positionV relativeFrom="paragraph">
              <wp:posOffset>-1235710</wp:posOffset>
            </wp:positionV>
            <wp:extent cx="2875915" cy="27432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2875915" cy="274320"/>
                    </a:xfrm>
                    <a:prstGeom prst="rect">
                      <a:avLst/>
                    </a:prstGeom>
                    <a:noFill/>
                  </pic:spPr>
                </pic:pic>
              </a:graphicData>
            </a:graphic>
          </wp:anchor>
        </w:drawing>
        <w:drawing>
          <wp:anchor simplePos="0" relativeHeight="251657728" behindDoc="1" locked="0" layoutInCell="0" allowOverlap="1">
            <wp:simplePos x="0" y="0"/>
            <wp:positionH relativeFrom="column">
              <wp:posOffset>212090</wp:posOffset>
            </wp:positionH>
            <wp:positionV relativeFrom="paragraph">
              <wp:posOffset>-830580</wp:posOffset>
            </wp:positionV>
            <wp:extent cx="2875915" cy="30607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2875915" cy="306070"/>
                    </a:xfrm>
                    <a:prstGeom prst="rect">
                      <a:avLst/>
                    </a:prstGeom>
                    <a:noFill/>
                  </pic:spPr>
                </pic:pic>
              </a:graphicData>
            </a:graphic>
          </wp:anchor>
        </w:drawing>
        <w:drawing>
          <wp:anchor simplePos="0" relativeHeight="251657728" behindDoc="1" locked="0" layoutInCell="0" allowOverlap="1">
            <wp:simplePos x="0" y="0"/>
            <wp:positionH relativeFrom="column">
              <wp:posOffset>202565</wp:posOffset>
            </wp:positionH>
            <wp:positionV relativeFrom="paragraph">
              <wp:posOffset>-393065</wp:posOffset>
            </wp:positionV>
            <wp:extent cx="2884805" cy="39941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2884805" cy="399415"/>
                    </a:xfrm>
                    <a:prstGeom prst="rect">
                      <a:avLst/>
                    </a:prstGeom>
                    <a:noFill/>
                  </pic:spPr>
                </pic:pic>
              </a:graphicData>
            </a:graphic>
          </wp:anchor>
        </w:drawing>
      </w:r>
    </w:p>
    <w:p>
      <w:pPr>
        <w:spacing w:after="0" w:line="195" w:lineRule="exact"/>
        <w:rPr>
          <w:sz w:val="20"/>
          <w:szCs w:val="20"/>
          <w:color w:val="auto"/>
        </w:rPr>
      </w:pPr>
    </w:p>
    <w:p>
      <w:pPr xmlns:w="http://schemas.openxmlformats.org/wordprocessingml/2006/main">
        <w:jc w:val="both"/>
        <w:ind w:left="120" w:hanging="5"/>
        <w:spacing w:after="0" w:line="257" w:lineRule="auto"/>
        <w:tabs>
          <w:tab w:leader="none" w:pos="233" w:val="left"/>
        </w:tabs>
        <w:numPr>
          <w:ilvl w:val="0"/>
          <w:numId w:val="6"/>
        </w:numPr>
        <w:rPr>
          <w:rFonts w:ascii="Arial" w:cs="Arial" w:eastAsia="Arial" w:hAnsi="Arial"/>
          <w:sz w:val="17"/>
          <w:szCs w:val="17"/>
          <w:b w:val="1"/>
          <w:bCs w:val="1"/>
          <w:color w:val="auto"/>
        </w:rPr>
      </w:pPr>
      <w:r>
        <w:rPr xmlns:w="http://schemas.openxmlformats.org/wordprocessingml/2006/main">
          <w:rFonts w:ascii="Arial" w:cs="Arial" w:eastAsia="Arial" w:hAnsi="Arial"/>
          <w:sz w:val="17"/>
          <w:szCs w:val="17"/>
          <w:b w:val="1"/>
          <w:bCs w:val="1"/>
          <w:color w:val="auto"/>
        </w:rPr>
        <w:t xml:space="preserve">Οι εξουσιοδοτημένοι συμμετέχοντες που ασχολούνται άμεσα με το Ταμείο μπορούν να καταβάλλουν τέλη εισόδου έως 5% κατ’ ανώτατο όριο και τέλη εξόδου έως 3% κατ’ ανώτατο όριο.</w:t>
      </w:r>
      <w:r>
        <w:rPr xmlns:w="http://schemas.openxmlformats.org/wordprocessingml/2006/main">
          <w:rFonts w:ascii="Arial" w:cs="Arial" w:eastAsia="Arial" w:hAnsi="Arial"/>
          <w:sz w:val="17"/>
          <w:szCs w:val="17"/>
          <w:b w:val="1"/>
          <w:bCs w:val="1"/>
          <w:color w:val="auto"/>
        </w:rPr>
        <w:t xml:space="preserve"> Επί του παρόντος, το Ταμείο δεν ασκεί το δικαίωμά του για επιβολή τελών εισόδου και εξόδου.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155575</wp:posOffset>
            </wp:positionV>
            <wp:extent cx="6163310" cy="24384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6163310" cy="243840"/>
                    </a:xfrm>
                    <a:prstGeom prst="rect">
                      <a:avLst/>
                    </a:prstGeom>
                    <a:noFill/>
                  </pic:spPr>
                </pic:pic>
              </a:graphicData>
            </a:graphic>
          </wp:anchor>
        </w:drawing>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00" w:lineRule="exact"/>
        <w:rPr>
          <w:sz w:val="20"/>
          <w:szCs w:val="20"/>
          <w:color w:val="auto"/>
        </w:rPr>
      </w:pPr>
    </w:p>
    <w:p>
      <w:pPr>
        <w:spacing w:after="0" w:line="299" w:lineRule="exact"/>
        <w:rPr>
          <w:sz w:val="20"/>
          <w:szCs w:val="20"/>
          <w:color w:val="auto"/>
        </w:rPr>
      </w:pPr>
    </w:p>
    <w:p>
      <w:pPr xmlns:w="http://schemas.openxmlformats.org/wordprocessingml/2006/main">
        <w:jc w:val="both"/>
        <w:spacing w:after="0" w:line="287" w:lineRule="auto"/>
        <w:rPr>
          <w:sz w:val="20"/>
          <w:szCs w:val="20"/>
          <w:color w:val="auto"/>
        </w:rPr>
      </w:pPr>
      <w:r>
        <w:rPr xmlns:w="http://schemas.openxmlformats.org/wordprocessingml/2006/main">
          <w:rFonts w:ascii="Arial" w:cs="Arial" w:eastAsia="Arial" w:hAnsi="Arial"/>
          <w:sz w:val="15"/>
          <w:szCs w:val="15"/>
          <w:b w:val="1"/>
          <w:bCs w:val="1"/>
          <w:color w:val="auto"/>
        </w:rPr>
        <w:t xml:space="preserve">Δεδομένου ότι το Ταμείο είναι ETF, οι επενδυτές δευτερογενούς αγοράς δεν θα είναι συνήθως σε θέση να συναλλάσσονται απευθείας με τη HANetf ICAV.</w:t>
      </w:r>
      <w:r>
        <w:rPr xmlns:w="http://schemas.openxmlformats.org/wordprocessingml/2006/main">
          <w:rFonts w:ascii="Arial" w:cs="Arial" w:eastAsia="Arial" w:hAnsi="Arial"/>
          <w:sz w:val="15"/>
          <w:szCs w:val="15"/>
          <w:b w:val="1"/>
          <w:bCs w:val="1"/>
          <w:color w:val="auto"/>
        </w:rPr>
        <w:t xml:space="preserve"> Οι επενδυτές που αγοράζουν μετοχές σε χρηματιστήριο θα το πράξουν σε αγοραίες τιμές που θα αντανακλούν τις αμοιβές των μεσιτών ή/και τις επιβαρύνσεις των συναλλαγών και τα περιθώρια των προσφορών-ζητήσεων καθώς και τις υποκείμενες τιμές των εταιρειών κατά τον χρόνο της διαπραγμάτευσης στη δευτερογενή αγορά.</w:t>
      </w:r>
    </w:p>
    <w:p>
      <w:pPr>
        <w:spacing w:after="0" w:line="1" w:lineRule="exact"/>
        <w:rPr>
          <w:sz w:val="20"/>
          <w:szCs w:val="20"/>
          <w:color w:val="auto"/>
        </w:rPr>
      </w:pPr>
    </w:p>
    <w:p>
      <w:pPr xmlns:w="http://schemas.openxmlformats.org/wordprocessingml/2006/main">
        <w:jc w:val="both"/>
        <w:ind w:firstLine="2"/>
        <w:spacing w:after="0" w:line="270" w:lineRule="auto"/>
        <w:tabs>
          <w:tab w:leader="none" w:pos="115" w:val="left"/>
        </w:tabs>
        <w:numPr>
          <w:ilvl w:val="0"/>
          <w:numId w:val="7"/>
        </w:numPr>
        <w:rPr>
          <w:rFonts w:ascii="Arial" w:cs="Arial" w:eastAsia="Arial" w:hAnsi="Arial"/>
          <w:sz w:val="16"/>
          <w:szCs w:val="16"/>
          <w:b w:val="1"/>
          <w:bCs w:val="1"/>
          <w:color w:val="auto"/>
        </w:rPr>
      </w:pPr>
      <w:r>
        <w:rPr xmlns:w="http://schemas.openxmlformats.org/wordprocessingml/2006/main">
          <w:rFonts w:ascii="Arial" w:cs="Arial" w:eastAsia="Arial" w:hAnsi="Arial"/>
          <w:sz w:val="16"/>
          <w:szCs w:val="16"/>
          <w:b w:val="1"/>
          <w:bCs w:val="1"/>
          <w:color w:val="auto"/>
        </w:rPr>
        <w:t xml:space="preserve">Οι εξουσιοδοτημένοι συμμετέχοντες που συναλλάσσονται απευθείας με το Ταμείο θα καταβάλλουν τα σχετικά έξοδα συναλλαγής.</w:t>
      </w:r>
      <w:r>
        <w:rPr xmlns:w="http://schemas.openxmlformats.org/wordprocessingml/2006/main">
          <w:rFonts w:ascii="Arial" w:cs="Arial" w:eastAsia="Arial" w:hAnsi="Arial"/>
          <w:sz w:val="16"/>
          <w:szCs w:val="16"/>
          <w:b w:val="1"/>
          <w:bCs w:val="1"/>
          <w:color w:val="auto"/>
        </w:rPr>
        <w:t xml:space="preserve"> * Για τους επενδυτές που ασχολούνται άμεσα με το Ταμείο, η εναλλαγή μεταξύ επιμέρους κεφαλαίων μπορεί να έχει ως μέγιστο τέλος μετατροπής το 3%.</w:t>
      </w:r>
    </w:p>
    <w:p>
      <w:pPr xmlns:w="http://schemas.openxmlformats.org/wordprocessingml/2006/main">
        <w:jc w:val="both"/>
        <w:spacing w:after="0" w:line="298" w:lineRule="auto"/>
        <w:rPr>
          <w:rFonts w:ascii="Arial" w:cs="Arial" w:eastAsia="Arial" w:hAnsi="Arial"/>
          <w:sz w:val="16"/>
          <w:szCs w:val="16"/>
          <w:b w:val="1"/>
          <w:bCs w:val="1"/>
          <w:color w:val="auto"/>
        </w:rPr>
      </w:pPr>
      <w:r>
        <w:rPr xmlns:w="http://schemas.openxmlformats.org/wordprocessingml/2006/main">
          <w:rFonts w:ascii="Arial" w:cs="Arial" w:eastAsia="Arial" w:hAnsi="Arial"/>
          <w:sz w:val="15"/>
          <w:szCs w:val="15"/>
          <w:b w:val="1"/>
          <w:bCs w:val="1"/>
          <w:color w:val="auto"/>
        </w:rPr>
        <w:t xml:space="preserve">** Οι τρέχουσες χρεώσεις καταβάλλονται στο Διαχειριστή που είναι υπεύθυνος για την απαλλαγή από τα τέλη του κόστους λειτουργίας του Ταμείου.</w:t>
      </w:r>
      <w:r>
        <w:rPr xmlns:w="http://schemas.openxmlformats.org/wordprocessingml/2006/main">
          <w:rFonts w:ascii="Arial" w:cs="Arial" w:eastAsia="Arial" w:hAnsi="Arial"/>
          <w:sz w:val="15"/>
          <w:szCs w:val="15"/>
          <w:b w:val="1"/>
          <w:bCs w:val="1"/>
          <w:color w:val="auto"/>
        </w:rPr>
        <w:t xml:space="preserve"> Εξαιρούνται τα έξοδα συναλλαγών χαρτοφυλακίου, εκτός από την περίπτωση τέλους εισόδου/εξόδου που καταβάλλεται από το Ταμείο κατά την αγορά ή πώληση μεριδίων σε άλλο επενδυτικό οργανισμό.</w:t>
      </w:r>
    </w:p>
    <w:p>
      <w:pPr>
        <w:spacing w:after="0" w:line="168" w:lineRule="exact"/>
        <w:rPr>
          <w:sz w:val="20"/>
          <w:szCs w:val="20"/>
          <w:color w:val="auto"/>
        </w:rPr>
      </w:pPr>
    </w:p>
    <w:p>
      <w:pPr xmlns:w="http://schemas.openxmlformats.org/wordprocessingml/2006/main">
        <w:jc w:val="both"/>
        <w:spacing w:after="0" w:line="256" w:lineRule="auto"/>
        <w:rPr>
          <w:sz w:val="20"/>
          <w:szCs w:val="20"/>
          <w:color w:val="auto"/>
        </w:rPr>
      </w:pPr>
      <w:r>
        <w:rPr xmlns:w="http://schemas.openxmlformats.org/wordprocessingml/2006/main">
          <w:rFonts w:ascii="Arial" w:cs="Arial" w:eastAsia="Arial" w:hAnsi="Arial"/>
          <w:sz w:val="17"/>
          <w:szCs w:val="17"/>
          <w:b w:val="1"/>
          <w:bCs w:val="1"/>
          <w:color w:val="auto"/>
        </w:rPr>
        <w:t xml:space="preserve">Για περισσότερες πληροφορίες σχετικά με τις χρεώσεις, ανατρέξτε στις ενότητες "Γενικά έξοδα και έξοδα" και "Έξοδα διαχείρισης και έξοδα" του ενημερωτικού δελτίου και στις ενότητες "Χρεώσεις και έξοδα" και "Βασικές πληροφορίες για τις συναλλαγές μετοχών" του Συμπληρώματος.</w:t>
      </w:r>
    </w:p>
    <w:p>
      <w:pPr>
        <w:spacing w:after="0" w:line="49" w:lineRule="exact"/>
        <w:rPr>
          <w:sz w:val="20"/>
          <w:szCs w:val="20"/>
          <w:color w:val="auto"/>
        </w:rPr>
      </w:pPr>
    </w:p>
    <w:p>
      <w:pPr>
        <w:sectPr>
          <w:pgSz w:w="12240" w:h="15840" w:orient="portrait"/>
          <w:cols w:equalWidth="0" w:num="2">
            <w:col w:w="5080" w:space="200"/>
            <w:col w:w="4320"/>
          </w:cols>
          <w:pgMar w:left="1440" w:top="679" w:right="1200" w:bottom="448" w:gutter="0" w:footer="0" w:header="0"/>
          <w:type w:val="continuous"/>
        </w:sect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23"/>
          <w:szCs w:val="23"/>
          <w:b w:val="1"/>
          <w:bCs w:val="1"/>
          <w:color w:val="auto"/>
        </w:rPr>
        <w:t xml:space="preserve">Προηγούμενη απόδοση</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38100</wp:posOffset>
            </wp:positionV>
            <wp:extent cx="6163310" cy="635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6163310" cy="6350"/>
                    </a:xfrm>
                    <a:prstGeom prst="rect">
                      <a:avLst/>
                    </a:prstGeom>
                    <a:noFill/>
                  </pic:spPr>
                </pic:pic>
              </a:graphicData>
            </a:graphic>
          </wp:anchor>
        </w:drawing>
      </w:r>
    </w:p>
    <w:p>
      <w:pPr>
        <w:spacing w:after="0" w:line="233" w:lineRule="exact"/>
        <w:rPr>
          <w:sz w:val="20"/>
          <w:szCs w:val="20"/>
          <w:color w:val="auto"/>
        </w:rPr>
      </w:pPr>
    </w:p>
    <w:p>
      <w:pPr xmlns:w="http://schemas.openxmlformats.org/wordprocessingml/2006/main">
        <w:ind w:left="460"/>
        <w:spacing w:after="0"/>
        <w:rPr>
          <w:sz w:val="20"/>
          <w:szCs w:val="20"/>
          <w:color w:val="auto"/>
        </w:rPr>
      </w:pPr>
      <w:r>
        <w:rPr xmlns:w="http://schemas.openxmlformats.org/wordprocessingml/2006/main">
          <w:rFonts w:ascii="Arial" w:cs="Arial" w:eastAsia="Arial" w:hAnsi="Arial"/>
          <w:sz w:val="15"/>
          <w:szCs w:val="15"/>
          <w:b w:val="1"/>
          <w:bCs w:val="1"/>
          <w:color w:val="auto"/>
        </w:rPr>
        <w:t xml:space="preserve">Τα στοιχεία που υπάρχουν δεν επαρκούν για την παροχή χρήσιμης ένδειξης προηγούμενων επιδόσεων στους επενδυτές.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156845</wp:posOffset>
            </wp:positionV>
            <wp:extent cx="6163310" cy="24384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6163310" cy="243840"/>
                    </a:xfrm>
                    <a:prstGeom prst="rect">
                      <a:avLst/>
                    </a:prstGeom>
                    <a:noFill/>
                  </pic:spPr>
                </pic:pic>
              </a:graphicData>
            </a:graphic>
          </wp:anchor>
        </w:drawing>
      </w:r>
    </w:p>
    <w:p>
      <w:pPr>
        <w:spacing w:after="0" w:line="286" w:lineRule="exact"/>
        <w:rPr>
          <w:sz w:val="20"/>
          <w:szCs w:val="20"/>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23"/>
          <w:szCs w:val="23"/>
          <w:b w:val="1"/>
          <w:bCs w:val="1"/>
          <w:color w:val="auto"/>
        </w:rPr>
        <w:t xml:space="preserve">Πρακτικές πληροφορίες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38100</wp:posOffset>
            </wp:positionV>
            <wp:extent cx="6163310" cy="635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6163310" cy="6350"/>
                    </a:xfrm>
                    <a:prstGeom prst="rect">
                      <a:avLst/>
                    </a:prstGeom>
                    <a:noFill/>
                  </pic:spPr>
                </pic:pic>
              </a:graphicData>
            </a:graphic>
          </wp:anchor>
        </w:drawing>
      </w:r>
    </w:p>
    <w:p>
      <w:pPr>
        <w:sectPr>
          <w:pgSz w:w="12240" w:h="15840" w:orient="portrait"/>
          <w:cols w:equalWidth="0" w:num="1">
            <w:col w:w="9600"/>
          </w:cols>
          <w:pgMar w:left="1440" w:top="679" w:right="1200" w:bottom="448" w:gutter="0" w:footer="0" w:header="0"/>
          <w:type w:val="continuous"/>
        </w:sectPr>
      </w:pPr>
    </w:p>
    <w:p>
      <w:pPr>
        <w:spacing w:after="0" w:line="276" w:lineRule="exact"/>
        <w:rPr>
          <w:sz w:val="20"/>
          <w:szCs w:val="20"/>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Διαχειριστής επενδύσεων:</w:t>
      </w:r>
      <w:r>
        <w:rPr xmlns:w="http://schemas.openxmlformats.org/wordprocessingml/2006/main">
          <w:rFonts w:ascii="Arial" w:cs="Arial" w:eastAsia="Arial" w:hAnsi="Arial"/>
          <w:sz w:val="17"/>
          <w:szCs w:val="17"/>
          <w:b w:val="1"/>
          <w:bCs w:val="1"/>
          <w:color w:val="auto"/>
        </w:rPr>
        <w:t xml:space="preserve"> Συμβουλευτική για μάρτυρες, LLC</w:t>
      </w:r>
    </w:p>
    <w:p>
      <w:pPr>
        <w:spacing w:after="0" w:line="13" w:lineRule="exact"/>
        <w:rPr>
          <w:sz w:val="20"/>
          <w:szCs w:val="20"/>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Θεματοφύλακας:</w:t>
      </w:r>
      <w:r>
        <w:rPr xmlns:w="http://schemas.openxmlformats.org/wordprocessingml/2006/main">
          <w:rFonts w:ascii="Arial" w:cs="Arial" w:eastAsia="Arial" w:hAnsi="Arial"/>
          <w:sz w:val="17"/>
          <w:szCs w:val="17"/>
          <w:b w:val="1"/>
          <w:bCs w:val="1"/>
          <w:color w:val="auto"/>
        </w:rPr>
        <w:t xml:space="preserve"> J.P. Morgan SE - Παράρτημα Δουβλίνου.</w:t>
      </w:r>
    </w:p>
    <w:p>
      <w:pPr>
        <w:spacing w:after="0" w:line="9" w:lineRule="exact"/>
        <w:rPr>
          <w:sz w:val="20"/>
          <w:szCs w:val="20"/>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5"/>
          <w:szCs w:val="15"/>
          <w:b w:val="1"/>
          <w:bCs w:val="1"/>
          <w:color w:val="auto"/>
        </w:rPr>
        <w:t xml:space="preserve">Διαχειριστής:</w:t>
      </w:r>
      <w:r>
        <w:rPr xmlns:w="http://schemas.openxmlformats.org/wordprocessingml/2006/main">
          <w:rFonts w:ascii="Arial" w:cs="Arial" w:eastAsia="Arial" w:hAnsi="Arial"/>
          <w:sz w:val="15"/>
          <w:szCs w:val="15"/>
          <w:b w:val="1"/>
          <w:bCs w:val="1"/>
          <w:color w:val="auto"/>
        </w:rPr>
        <w:t xml:space="preserve"> J.P. Morgan Administration Services (Ireland) Limited.</w:t>
      </w:r>
    </w:p>
    <w:p>
      <w:pPr>
        <w:spacing w:after="0" w:line="36" w:lineRule="exact"/>
        <w:rPr>
          <w:sz w:val="20"/>
          <w:szCs w:val="20"/>
          <w:color w:val="auto"/>
        </w:rPr>
      </w:pPr>
    </w:p>
    <w:p>
      <w:pPr xmlns:w="http://schemas.openxmlformats.org/wordprocessingml/2006/main">
        <w:jc w:val="both"/>
        <w:ind w:left="120"/>
        <w:spacing w:after="0" w:line="287" w:lineRule="auto"/>
        <w:rPr>
          <w:sz w:val="20"/>
          <w:szCs w:val="20"/>
          <w:color w:val="auto"/>
        </w:rPr>
      </w:pPr>
      <w:r>
        <w:rPr xmlns:w="http://schemas.openxmlformats.org/wordprocessingml/2006/main">
          <w:rFonts w:ascii="Arial" w:cs="Arial" w:eastAsia="Arial" w:hAnsi="Arial"/>
          <w:sz w:val="15"/>
          <w:szCs w:val="15"/>
          <w:b w:val="1"/>
          <w:bCs w:val="1"/>
          <w:color w:val="auto"/>
        </w:rPr>
        <w:t xml:space="preserve">Λοιπές πληροφορίες:</w:t>
      </w:r>
      <w:r>
        <w:rPr xmlns:w="http://schemas.openxmlformats.org/wordprocessingml/2006/main">
          <w:rFonts w:ascii="Arial" w:cs="Arial" w:eastAsia="Arial" w:hAnsi="Arial"/>
          <w:sz w:val="15"/>
          <w:szCs w:val="15"/>
          <w:b w:val="1"/>
          <w:bCs w:val="1"/>
          <w:color w:val="auto"/>
        </w:rPr>
        <w:t xml:space="preserve"> Αντίγραφα της τεκμηρίωσης του ενημερωτικού δελτίου και των πιο πρόσφατων οικονομικών καταστάσεων διατίθενται δωρεάν από τον διαχειριστή.</w:t>
      </w:r>
      <w:r>
        <w:rPr xmlns:w="http://schemas.openxmlformats.org/wordprocessingml/2006/main">
          <w:rFonts w:ascii="Arial" w:cs="Arial" w:eastAsia="Arial" w:hAnsi="Arial"/>
          <w:sz w:val="15"/>
          <w:szCs w:val="15"/>
          <w:b w:val="1"/>
          <w:bCs w:val="1"/>
          <w:color w:val="auto"/>
        </w:rPr>
        <w:t xml:space="preserve"> Το ενημερωτικό δελτίο και οι οικονομικές καταστάσεις καταρτίζονται για τη HANetf ICAV και όχι χωριστά για το Ταμείο.</w:t>
      </w:r>
      <w:r>
        <w:rPr xmlns:w="http://schemas.openxmlformats.org/wordprocessingml/2006/main">
          <w:rFonts w:ascii="Arial" w:cs="Arial" w:eastAsia="Arial" w:hAnsi="Arial"/>
          <w:sz w:val="15"/>
          <w:szCs w:val="15"/>
          <w:b w:val="1"/>
          <w:bCs w:val="1"/>
          <w:color w:val="auto"/>
        </w:rPr>
        <w:t xml:space="preserve"> Περισσότερες πληροφορίες σχετικά με τη σύνθεση του χαρτοφυλακίου και πληροφορίες σχετικά με τα στοιχεία του δείκτη διατίθενται στη διεύθυνση www.HANetf.com.</w:t>
      </w:r>
    </w:p>
    <w:p>
      <w:pPr>
        <w:spacing w:after="0" w:line="1" w:lineRule="exact"/>
        <w:rPr>
          <w:sz w:val="20"/>
          <w:szCs w:val="20"/>
          <w:color w:val="auto"/>
        </w:rPr>
      </w:pPr>
    </w:p>
    <w:p>
      <w:pPr xmlns:w="http://schemas.openxmlformats.org/wordprocessingml/2006/main">
        <w:jc w:val="both"/>
        <w:ind w:left="120"/>
        <w:spacing w:after="0" w:line="287" w:lineRule="auto"/>
        <w:rPr>
          <w:sz w:val="20"/>
          <w:szCs w:val="20"/>
          <w:color w:val="auto"/>
        </w:rPr>
      </w:pPr>
      <w:r>
        <w:rPr xmlns:w="http://schemas.openxmlformats.org/wordprocessingml/2006/main">
          <w:rFonts w:ascii="Arial" w:cs="Arial" w:eastAsia="Arial" w:hAnsi="Arial"/>
          <w:sz w:val="15"/>
          <w:szCs w:val="15"/>
          <w:b w:val="1"/>
          <w:bCs w:val="1"/>
          <w:color w:val="auto"/>
        </w:rPr>
        <w:t xml:space="preserve">Πολιτική αποδοχών:</w:t>
      </w:r>
      <w:r>
        <w:rPr xmlns:w="http://schemas.openxmlformats.org/wordprocessingml/2006/main">
          <w:rFonts w:ascii="Arial" w:cs="Arial" w:eastAsia="Arial" w:hAnsi="Arial"/>
          <w:sz w:val="15"/>
          <w:szCs w:val="15"/>
          <w:b w:val="1"/>
          <w:bCs w:val="1"/>
          <w:color w:val="auto"/>
        </w:rPr>
        <w:t xml:space="preserve"> Λεπτομέρειες σχετικά με την πολιτική αποδοχών του διαχειριστή, συμπεριλαμβανομένης της περιγραφής του τρόπου υπολογισμού των αποδοχών και των παροχών και της ταυτότητας των προσώπων που είναι υπεύθυνα για τη χορήγηση των εν λόγω αποδοχών/παροχών, διατίθενται στον ακόλουθο δικτυακό τόπο:</w:t>
      </w:r>
      <w:r>
        <w:rPr xmlns:w="http://schemas.openxmlformats.org/wordprocessingml/2006/main">
          <w:rFonts w:ascii="Arial" w:cs="Arial" w:eastAsia="Arial" w:hAnsi="Arial"/>
          <w:sz w:val="15"/>
          <w:szCs w:val="15"/>
          <w:b w:val="1"/>
          <w:bCs w:val="1"/>
          <w:color w:val="auto"/>
        </w:rPr>
        <w:t xml:space="preserve"> www.hanetf.com.</w:t>
      </w:r>
      <w:r>
        <w:rPr xmlns:w="http://schemas.openxmlformats.org/wordprocessingml/2006/main">
          <w:rFonts w:ascii="Arial" w:cs="Arial" w:eastAsia="Arial" w:hAnsi="Arial"/>
          <w:sz w:val="15"/>
          <w:szCs w:val="15"/>
          <w:b w:val="1"/>
          <w:bCs w:val="1"/>
          <w:color w:val="auto"/>
        </w:rPr>
        <w:t xml:space="preserve"> Ένα έντυπο αντίγραφο αυτών των λεπτομερειών πολιτικής διατίθεται επίσης δωρεάν από το Διευθυντή, κατόπιν αιτήματος.</w:t>
      </w:r>
    </w:p>
    <w:p>
      <w:pPr>
        <w:spacing w:after="0" w:line="3" w:lineRule="exact"/>
        <w:rPr>
          <w:sz w:val="20"/>
          <w:szCs w:val="20"/>
          <w:color w:val="auto"/>
        </w:rPr>
      </w:pPr>
    </w:p>
    <w:p>
      <w:pPr xmlns:w="http://schemas.openxmlformats.org/wordprocessingml/2006/main">
        <w:jc w:val="both"/>
        <w:ind w:left="120"/>
        <w:spacing w:after="0" w:line="340" w:lineRule="auto"/>
        <w:rPr>
          <w:sz w:val="20"/>
          <w:szCs w:val="20"/>
          <w:color w:val="auto"/>
        </w:rPr>
      </w:pPr>
      <w:r>
        <w:rPr xmlns:w="http://schemas.openxmlformats.org/wordprocessingml/2006/main">
          <w:rFonts w:ascii="Arial" w:cs="Arial" w:eastAsia="Arial" w:hAnsi="Arial"/>
          <w:sz w:val="14"/>
          <w:szCs w:val="14"/>
          <w:b w:val="1"/>
          <w:bCs w:val="1"/>
          <w:color w:val="auto"/>
        </w:rPr>
        <w:t xml:space="preserve">Πληροφορίες τιμολόγησης:</w:t>
      </w:r>
      <w:r>
        <w:rPr xmlns:w="http://schemas.openxmlformats.org/wordprocessingml/2006/main">
          <w:rFonts w:ascii="Arial" w:cs="Arial" w:eastAsia="Arial" w:hAnsi="Arial"/>
          <w:sz w:val="14"/>
          <w:szCs w:val="14"/>
          <w:b w:val="1"/>
          <w:bCs w:val="1"/>
          <w:color w:val="auto"/>
        </w:rPr>
        <w:t xml:space="preserve"> Η καθαρή αξία ενεργητικού της κατηγορίας μετοχών θα είναι διαθέσιμη κατά τις συνήθεις εργάσιμες ώρες κάθε εργάσιμη ημέρα στα γραφεία του Διαχειριστή και θα δημοσιεύεται καθημερινά στο </w:t>
      </w:r>
      <w:r>
        <w:rPr xmlns:w="http://schemas.openxmlformats.org/wordprocessingml/2006/main">
          <w:rFonts w:ascii="Arial" w:cs="Arial" w:eastAsia="Arial" w:hAnsi="Arial"/>
          <w:sz w:val="14"/>
          <w:szCs w:val="14"/>
          <w:b w:val="1"/>
          <w:bCs w:val="1"/>
          <w:u w:val="single" w:color="auto"/>
          <w:color w:val="0000FF"/>
        </w:rPr>
        <w:t xml:space="preserve">www.hanetf.com</w:t>
      </w:r>
      <w:r>
        <w:rPr xmlns:w="http://schemas.openxmlformats.org/wordprocessingml/2006/main">
          <w:rFonts w:ascii="Arial" w:cs="Arial" w:eastAsia="Arial" w:hAnsi="Arial"/>
          <w:sz w:val="14"/>
          <w:szCs w:val="14"/>
          <w:b w:val="1"/>
          <w:bCs w:val="1"/>
          <w:color w:val="auto"/>
        </w:rPr>
        <w:t xml:space="preserv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64135</wp:posOffset>
            </wp:positionV>
            <wp:extent cx="6163310" cy="38417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6163310" cy="384175"/>
                    </a:xfrm>
                    <a:prstGeom prst="rect">
                      <a:avLst/>
                    </a:prstGeom>
                    <a:noFill/>
                  </pic:spPr>
                </pic:pic>
              </a:graphicData>
            </a:graphic>
          </wp:anchor>
        </w:drawing>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56" w:lineRule="exact"/>
        <w:rPr>
          <w:sz w:val="20"/>
          <w:szCs w:val="20"/>
          <w:color w:val="auto"/>
        </w:rPr>
      </w:pPr>
    </w:p>
    <w:p>
      <w:pPr xmlns:w="http://schemas.openxmlformats.org/wordprocessingml/2006/main">
        <w:jc w:val="both"/>
        <w:spacing w:after="0" w:line="269" w:lineRule="auto"/>
        <w:rPr>
          <w:sz w:val="20"/>
          <w:szCs w:val="20"/>
          <w:color w:val="auto"/>
        </w:rPr>
      </w:pPr>
      <w:r>
        <w:rPr xmlns:w="http://schemas.openxmlformats.org/wordprocessingml/2006/main">
          <w:rFonts w:ascii="Arial" w:cs="Arial" w:eastAsia="Arial" w:hAnsi="Arial"/>
          <w:sz w:val="16"/>
          <w:szCs w:val="16"/>
          <w:b w:val="1"/>
          <w:bCs w:val="1"/>
          <w:color w:val="auto"/>
        </w:rPr>
        <w:t xml:space="preserve">Μεταγωγή:</w:t>
      </w:r>
      <w:r>
        <w:rPr xmlns:w="http://schemas.openxmlformats.org/wordprocessingml/2006/main">
          <w:rFonts w:ascii="Arial" w:cs="Arial" w:eastAsia="Arial" w:hAnsi="Arial"/>
          <w:sz w:val="16"/>
          <w:szCs w:val="16"/>
          <w:b w:val="1"/>
          <w:bCs w:val="1"/>
          <w:color w:val="auto"/>
        </w:rPr>
        <w:t xml:space="preserve"> Η εναλλαγή μετοχών μεταξύ υποκεφαλαίων της HANetf ICAV δεν είναι δυνατή για τους επενδυτές που αγοράζουν μετοχές με ανταλλαγή.</w:t>
      </w:r>
      <w:r>
        <w:rPr xmlns:w="http://schemas.openxmlformats.org/wordprocessingml/2006/main">
          <w:rFonts w:ascii="Arial" w:cs="Arial" w:eastAsia="Arial" w:hAnsi="Arial"/>
          <w:sz w:val="16"/>
          <w:szCs w:val="16"/>
          <w:b w:val="1"/>
          <w:bCs w:val="1"/>
          <w:color w:val="auto"/>
        </w:rPr>
        <w:t xml:space="preserve"> Η αλλαγή μπορεί να είναι διαθέσιμη σε εξουσιοδοτημένους συμμετέχοντες που συναλλάσσονται απευθείας με το Ταμείο.</w:t>
      </w:r>
    </w:p>
    <w:p>
      <w:pPr>
        <w:spacing w:after="0" w:line="1" w:lineRule="exact"/>
        <w:rPr>
          <w:sz w:val="20"/>
          <w:szCs w:val="20"/>
          <w:color w:val="auto"/>
        </w:rPr>
      </w:pPr>
    </w:p>
    <w:p>
      <w:pPr xmlns:w="http://schemas.openxmlformats.org/wordprocessingml/2006/main">
        <w:jc w:val="both"/>
        <w:spacing w:after="0" w:line="287" w:lineRule="auto"/>
        <w:rPr>
          <w:sz w:val="20"/>
          <w:szCs w:val="20"/>
          <w:color w:val="auto"/>
        </w:rPr>
      </w:pPr>
      <w:r>
        <w:rPr xmlns:w="http://schemas.openxmlformats.org/wordprocessingml/2006/main">
          <w:rFonts w:ascii="Arial" w:cs="Arial" w:eastAsia="Arial" w:hAnsi="Arial"/>
          <w:sz w:val="15"/>
          <w:szCs w:val="15"/>
          <w:b w:val="1"/>
          <w:bCs w:val="1"/>
          <w:color w:val="auto"/>
        </w:rPr>
        <w:t xml:space="preserve">Χωριστή υποχρέωση:</w:t>
      </w:r>
      <w:r>
        <w:rPr xmlns:w="http://schemas.openxmlformats.org/wordprocessingml/2006/main">
          <w:rFonts w:ascii="Arial" w:cs="Arial" w:eastAsia="Arial" w:hAnsi="Arial"/>
          <w:sz w:val="15"/>
          <w:szCs w:val="15"/>
          <w:b w:val="1"/>
          <w:bCs w:val="1"/>
          <w:color w:val="auto"/>
        </w:rPr>
        <w:t xml:space="preserve"> Το Ταμείο είναι ένα επιμέρους κεφάλαιο της HANetf ICAV, ενός ιρλανδικού φορέα συλλογικής διαχείρισης περιουσιακών στοιχείων.</w:t>
      </w:r>
      <w:r>
        <w:rPr xmlns:w="http://schemas.openxmlformats.org/wordprocessingml/2006/main">
          <w:rFonts w:ascii="Arial" w:cs="Arial" w:eastAsia="Arial" w:hAnsi="Arial"/>
          <w:sz w:val="15"/>
          <w:szCs w:val="15"/>
          <w:b w:val="1"/>
          <w:bCs w:val="1"/>
          <w:color w:val="auto"/>
        </w:rPr>
        <w:t xml:space="preserve"> Σύμφωνα με την ιρλανδική νομοθεσία, τα στοιχεία ενεργητικού και παθητικού του Ταμείου διαχωρίζονται από άλλα υποκεφάλαια εντός της HANetf ICAV και τα στοιχεία ενεργητικού του Ταμείου δεν θα είναι διαθέσιμα για την κάλυψη των υποχρεώσεων άλλου ταμείου της HANetf ICAV.</w:t>
      </w:r>
    </w:p>
    <w:p>
      <w:pPr>
        <w:spacing w:after="0" w:line="3" w:lineRule="exact"/>
        <w:rPr>
          <w:sz w:val="20"/>
          <w:szCs w:val="20"/>
          <w:color w:val="auto"/>
        </w:rPr>
      </w:pPr>
    </w:p>
    <w:p>
      <w:pPr xmlns:w="http://schemas.openxmlformats.org/wordprocessingml/2006/main">
        <w:jc w:val="both"/>
        <w:spacing w:after="0" w:line="253" w:lineRule="auto"/>
        <w:rPr>
          <w:sz w:val="20"/>
          <w:szCs w:val="20"/>
          <w:color w:val="auto"/>
        </w:rPr>
      </w:pPr>
      <w:r>
        <w:rPr xmlns:w="http://schemas.openxmlformats.org/wordprocessingml/2006/main">
          <w:rFonts w:ascii="Arial" w:cs="Arial" w:eastAsia="Arial" w:hAnsi="Arial"/>
          <w:sz w:val="17"/>
          <w:szCs w:val="17"/>
          <w:b w:val="1"/>
          <w:bCs w:val="1"/>
          <w:color w:val="auto"/>
        </w:rPr>
        <w:t xml:space="preserve">Φορολογία:</w:t>
      </w:r>
      <w:r>
        <w:rPr xmlns:w="http://schemas.openxmlformats.org/wordprocessingml/2006/main">
          <w:rFonts w:ascii="Arial" w:cs="Arial" w:eastAsia="Arial" w:hAnsi="Arial"/>
          <w:sz w:val="17"/>
          <w:szCs w:val="17"/>
          <w:b w:val="1"/>
          <w:bCs w:val="1"/>
          <w:color w:val="auto"/>
        </w:rPr>
        <w:t xml:space="preserve"> Η HANetf ICAV έχει τη φορολογική της κατοικία στην Ιρλανδία.</w:t>
      </w:r>
      <w:r>
        <w:rPr xmlns:w="http://schemas.openxmlformats.org/wordprocessingml/2006/main">
          <w:rFonts w:ascii="Arial" w:cs="Arial" w:eastAsia="Arial" w:hAnsi="Arial"/>
          <w:sz w:val="17"/>
          <w:szCs w:val="17"/>
          <w:b w:val="1"/>
          <w:bCs w:val="1"/>
          <w:color w:val="auto"/>
        </w:rPr>
        <w:t xml:space="preserve"> Η ιρλανδική φορολογική νομοθεσία μπορεί να έχει επιπτώσεις στην προσωπική φορολογική κατάσταση ενός επενδυτή.</w:t>
      </w:r>
    </w:p>
    <w:p>
      <w:pPr>
        <w:spacing w:after="0" w:line="1" w:lineRule="exact"/>
        <w:rPr>
          <w:sz w:val="20"/>
          <w:szCs w:val="20"/>
          <w:color w:val="auto"/>
        </w:rPr>
      </w:pPr>
    </w:p>
    <w:p>
      <w:pPr xmlns:w="http://schemas.openxmlformats.org/wordprocessingml/2006/main">
        <w:jc w:val="both"/>
        <w:spacing w:after="0" w:line="278" w:lineRule="auto"/>
        <w:rPr>
          <w:sz w:val="20"/>
          <w:szCs w:val="20"/>
          <w:color w:val="auto"/>
        </w:rPr>
      </w:pPr>
      <w:r>
        <w:rPr xmlns:w="http://schemas.openxmlformats.org/wordprocessingml/2006/main">
          <w:rFonts w:ascii="Arial" w:cs="Arial" w:eastAsia="Arial" w:hAnsi="Arial"/>
          <w:sz w:val="16"/>
          <w:szCs w:val="16"/>
          <w:b w:val="1"/>
          <w:bCs w:val="1"/>
          <w:color w:val="auto"/>
        </w:rPr>
        <w:t xml:space="preserve">Κατάσταση ευθύνης:</w:t>
      </w:r>
      <w:r>
        <w:rPr xmlns:w="http://schemas.openxmlformats.org/wordprocessingml/2006/main">
          <w:rFonts w:ascii="Arial" w:cs="Arial" w:eastAsia="Arial" w:hAnsi="Arial"/>
          <w:sz w:val="16"/>
          <w:szCs w:val="16"/>
          <w:b w:val="1"/>
          <w:bCs w:val="1"/>
          <w:color w:val="auto"/>
        </w:rPr>
        <w:t xml:space="preserve"> Ο Διευθυντής μπορεί να θεωρηθεί υπεύθυνος αποκλειστικά με βάση οποιαδήποτε δήλωση που περιέχεται στο παρόν έγγραφο η οποία είναι παραπλανητική, ανακριβής ή ασυνεπής με τα σχετικά μέρη του ενημερωτικού δελτίου.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2810510</wp:posOffset>
            </wp:positionH>
            <wp:positionV relativeFrom="paragraph">
              <wp:posOffset>226695</wp:posOffset>
            </wp:positionV>
            <wp:extent cx="6350" cy="37782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6350" cy="377825"/>
                    </a:xfrm>
                    <a:prstGeom prst="rect">
                      <a:avLst/>
                    </a:prstGeom>
                    <a:noFill/>
                  </pic:spPr>
                </pic:pic>
              </a:graphicData>
            </a:graphic>
          </wp:anchor>
        </w:drawing>
      </w:r>
    </w:p>
    <w:p>
      <w:pPr>
        <w:spacing w:after="0" w:line="356" w:lineRule="exact"/>
        <w:rPr>
          <w:sz w:val="20"/>
          <w:szCs w:val="20"/>
          <w:color w:val="auto"/>
        </w:rPr>
      </w:pPr>
    </w:p>
    <w:p>
      <w:pPr>
        <w:sectPr>
          <w:pgSz w:w="12240" w:h="15840" w:orient="portrait"/>
          <w:cols w:equalWidth="0" w:num="2">
            <w:col w:w="5080" w:space="200"/>
            <w:col w:w="4320"/>
          </w:cols>
          <w:pgMar w:left="1440" w:top="679" w:right="1200" w:bottom="448" w:gutter="0" w:footer="0" w:header="0"/>
          <w:type w:val="continuous"/>
        </w:sect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Το εν λόγω ταμείο έχει λάβει άδεια λειτουργίας στην Ιρλανδία και τελεί υπό τη ρύθμιση της Central Bank of Ireland.</w:t>
      </w:r>
    </w:p>
    <w:p>
      <w:pPr>
        <w:spacing w:after="0" w:line="12" w:lineRule="exact"/>
        <w:rPr>
          <w:sz w:val="20"/>
          <w:szCs w:val="20"/>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3"/>
          <w:szCs w:val="13"/>
          <w:b w:val="1"/>
          <w:bCs w:val="1"/>
          <w:color w:val="auto"/>
        </w:rPr>
        <w:t xml:space="preserve">Η HANetf Management Limited έχει λάβει άδεια λειτουργίας στην Ιρλανδία και τελεί υπό τη ρύθμιση της Central Bank of Ireland.</w:t>
      </w:r>
    </w:p>
    <w:p>
      <w:pPr>
        <w:spacing w:after="0" w:line="45" w:lineRule="exact"/>
        <w:rPr>
          <w:sz w:val="20"/>
          <w:szCs w:val="20"/>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Αυτές οι βασικές πληροφορίες για τους επενδυτές είναι ακριβείς από τις 14.07.2023.</w:t>
      </w:r>
    </w:p>
    <w:sectPr>
      <w:pgSz w:w="12240" w:h="15840" w:orient="portrait"/>
      <w:cols w:equalWidth="0" w:num="1">
        <w:col w:w="9600"/>
      </w:cols>
      <w:pgMar w:left="1440" w:top="679" w:right="1200" w:bottom="448"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4679B4A8"/>
    <w:multiLevelType w:val="hybridMultilevel"/>
    <w:lvl w:ilvl="0">
      <w:lvlJc w:val="left"/>
      <w:lvlText w:val=" "/>
      <w:numFmt w:val="bullet"/>
      <w:start w:val="1"/>
    </w:lvl>
  </w:abstractNum>
  <w:abstractNum w:abstractNumId="1">
    <w:nsid w:val="2A617027"/>
    <w:multiLevelType w:val="hybridMultilevel"/>
    <w:lvl w:ilvl="0">
      <w:lvlJc w:val="left"/>
      <w:lvlText w:val=" "/>
      <w:numFmt w:val="bullet"/>
      <w:start w:val="1"/>
    </w:lvl>
  </w:abstractNum>
  <w:abstractNum w:abstractNumId="2">
    <w:nsid w:val="5788755F"/>
    <w:multiLevelType w:val="hybridMultilevel"/>
    <w:lvl w:ilvl="0">
      <w:lvlJc w:val="left"/>
      <w:lvlText w:val=" "/>
      <w:numFmt w:val="bullet"/>
      <w:start w:val="1"/>
    </w:lvl>
  </w:abstractNum>
  <w:abstractNum w:abstractNumId="3">
    <w:nsid w:val="2805177B"/>
    <w:multiLevelType w:val="hybridMultilevel"/>
    <w:lvl w:ilvl="0">
      <w:lvlJc w:val="left"/>
      <w:lvlText w:val=" "/>
      <w:numFmt w:val="bullet"/>
      <w:start w:val="1"/>
    </w:lvl>
  </w:abstractNum>
  <w:abstractNum w:abstractNumId="4">
    <w:nsid w:val="38C4406C"/>
    <w:multiLevelType w:val="hybridMultilevel"/>
    <w:lvl w:ilvl="0">
      <w:lvlJc w:val="left"/>
      <w:lvlText w:val=" "/>
      <w:numFmt w:val="bullet"/>
      <w:start w:val="1"/>
    </w:lvl>
  </w:abstractNum>
  <w:abstractNum w:abstractNumId="5">
    <w:nsid w:val="34D7B22B"/>
    <w:multiLevelType w:val="hybridMultilevel"/>
    <w:lvl w:ilvl="0">
      <w:lvlJc w:val="left"/>
      <w:lvlText w:val="*"/>
      <w:numFmt w:val="bullet"/>
      <w:start w:val="1"/>
    </w:lvl>
  </w:abstractNum>
  <w:abstractNum w:abstractNumId="6">
    <w:nsid w:val="2E0B3AA3"/>
    <w:multiLevelType w:val="hybridMultilevel"/>
    <w:lvl w:ilvl="0">
      <w:lvlJc w:val="left"/>
      <w:lvlText w:val="*"/>
      <w:numFmt w:val="bullet"/>
      <w:start w:val="1"/>
    </w:lvl>
  </w:abstractNum>
  <w:abstractNum w:abstractNumId="7">
    <w:nsid w:val="12EA906A"/>
    <w:multiLevelType w:val="hybridMultilevel"/>
    <w:lvl w:ilvl="0">
      <w:lvlJc w:val="left"/>
      <w:lvlText w:val=" "/>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png"/><Relationship Id="rId25" Type="http://schemas.openxmlformats.org/officeDocument/2006/relationships/image" Target="media/image14.png"/><Relationship Id="rId26" Type="http://schemas.openxmlformats.org/officeDocument/2006/relationships/image" Target="media/image15.pn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2024-05-20T14:43:08Z</dcterms:created>
  <dcterms:modified xsi:type="dcterms:W3CDTF">2024-05-20T14:43:08Z</dcterms:modified>
</cp:coreProperties>
</file>