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3.35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3.35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3.35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3.35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320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3320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Τυποποιημένες Επιλογές Ευρετηρίου (Πλήρης Κλήση)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Τυποποιημένες Επιλογές Ευρετηρίου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τυποποιημένα δικαιώματα προαίρεσης δείκτη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τυποποιημένες επιλογές δείκτη έως ότου διαβάσουν και κατανοήσουν αυτό το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επιλογών,</w:t>
      </w:r>
      <w:r>
        <w:rPr xmlns:w="http://schemas.openxmlformats.org/wordprocessingml/2006/main">
          <w:rFonts w:ascii="Calibri" w:cs="Calibri" w:eastAsia="Calibri" w:hAnsi="Calibri"/>
          <w:sz w:val="22"/>
          <w:szCs w:val="22"/>
          <w:color w:val="auto"/>
        </w:rPr>
        <w:t xml:space="preserve"> γνωστό επίσης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000000"/>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6801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68010"/>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6.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4"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δείκτη είναι το δικαίωμα αγοράς ή πώλησης συγκεκριμένης αξίας ενός συγκεκριμένου υποκείμενου δείκτη σε καθορισμένη τιμή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Ο δείκτης είναι ένα μέτρο των τιμών ή άλλων χαρακτηριστικών γνωρισμάτων μιας ομάδας τίτλων ή άλλων υποκείμενων συμφερόντων.</w:t>
      </w:r>
      <w:r>
        <w:rPr xmlns:w="http://schemas.openxmlformats.org/wordprocessingml/2006/main">
          <w:rFonts w:ascii="Calibri" w:cs="Calibri" w:eastAsia="Calibri" w:hAnsi="Calibri"/>
          <w:sz w:val="22"/>
          <w:szCs w:val="22"/>
          <w:color w:val="auto"/>
        </w:rPr>
        <w:t xml:space="preserve"> Για παράδειγμα, ένας δείκτης μπορεί να σχεδιαστεί έτσι ώστε να είναι αντιπροσωπευτικός των τιμών μιας ομάδας μετοχικών τίτλων ή να μετρά την προβλεπόμενη μεταβλητότητα ενός δείκτη.</w:t>
      </w:r>
      <w:r>
        <w:rPr xmlns:w="http://schemas.openxmlformats.org/wordprocessingml/2006/main">
          <w:rFonts w:ascii="Calibri" w:cs="Calibri" w:eastAsia="Calibri" w:hAnsi="Calibri"/>
          <w:sz w:val="22"/>
          <w:szCs w:val="22"/>
          <w:color w:val="auto"/>
        </w:rPr>
        <w:t xml:space="preserve"> Τα ευρετήρια διαφέρουν στον τρόπο υπολογισμού τους.</w:t>
      </w:r>
      <w:r>
        <w:rPr xmlns:w="http://schemas.openxmlformats.org/wordprocessingml/2006/main">
          <w:rFonts w:ascii="Calibri" w:cs="Calibri" w:eastAsia="Calibri" w:hAnsi="Calibri"/>
          <w:sz w:val="22"/>
          <w:szCs w:val="22"/>
          <w:color w:val="auto"/>
        </w:rPr>
        <w:t xml:space="preserve"> Επειδή ο δείκτης είναι μια αναπαράσταση των τιμών ή άλλων χαρακτηριστικών μιας ομάδας τίτλων ή άλλων συμφερόντων, η αγορά (ή πώληση) ενός τυποποιημένου δικαιώματος προαίρεσης επί δείκτη μπορεί να εκληφθεί ως δικαίωμα αγοράς (ή πώλησης) μιας αξίας που μεταβάλλεται καθώς μεταβάλλεται η αξία του υποκείμενου δείκτη.</w:t>
      </w:r>
      <w:r>
        <w:rPr xmlns:w="http://schemas.openxmlformats.org/wordprocessingml/2006/main">
          <w:rFonts w:ascii="Calibri" w:cs="Calibri" w:eastAsia="Calibri" w:hAnsi="Calibri"/>
          <w:sz w:val="22"/>
          <w:szCs w:val="22"/>
          <w:color w:val="auto"/>
        </w:rPr>
        <w:t xml:space="preserve"> Το άνοιγμα στον υποκείμενο δείκτη είναι έμμεσο, επειδή η τιμή του δικαιώματος προαίρεσης προκύπτει από την τιμή του υποκείμενου δείκτη.</w:t>
      </w:r>
      <w:r>
        <w:rPr xmlns:w="http://schemas.openxmlformats.org/wordprocessingml/2006/main">
          <w:rFonts w:ascii="Calibri" w:cs="Calibri" w:eastAsia="Calibri" w:hAnsi="Calibri"/>
          <w:sz w:val="22"/>
          <w:szCs w:val="22"/>
          <w:color w:val="auto"/>
        </w:rPr>
        <w:t xml:space="preserve"> Οι ημερομηνίες λήξης για τις επιλογές ευρετηρίου διαφέρουν.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Ορισμένες περιπτώσεις, όπως μια αλλαγή στη σύνθεση ή στον υπολογισμό του δείκτη, μπορεί να οδηγήσουν σε αλλαγή στους όρους της επιλογής σύμφωνα με τους κανόνες της OCC, οι οποίοι μπορεί να διαφέρουν από τη μεθοδολογία στις ευρωπαϊκές αγορές δικαιωμάτων προαίρεσης.</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διακανονίζονται σε μετρητά.</w:t>
      </w:r>
      <w:r>
        <w:rPr xmlns:w="http://schemas.openxmlformats.org/wordprocessingml/2006/main">
          <w:rFonts w:ascii="Calibri" w:cs="Calibri" w:eastAsia="Calibri" w:hAnsi="Calibri"/>
          <w:sz w:val="22"/>
          <w:szCs w:val="22"/>
          <w:color w:val="auto"/>
        </w:rPr>
        <w:t xml:space="preserve"> Ο κάτοχος (αγοραστής) έχει το δικαίωμα να λάβει μια πληρωμή τοις μετρητοίς από τον εκδότη (πωλητή) του δικαιώματος προαίρεσης, αν η προσδιοριζόμενη αξία του υποκείμενου δείκτη κατά τον χρόνο άσκησης του δικαιώματος («αξία διακανονισμού άσκησης») υπερβαίνει (call) ή είναι μικρότερη από (put) την τιμή άσκησης.</w:t>
      </w:r>
      <w:r>
        <w:rPr xmlns:w="http://schemas.openxmlformats.org/wordprocessingml/2006/main">
          <w:rFonts w:ascii="Calibri" w:cs="Calibri" w:eastAsia="Calibri" w:hAnsi="Calibri"/>
          <w:sz w:val="22"/>
          <w:szCs w:val="22"/>
          <w:color w:val="auto"/>
        </w:rPr>
        <w:t xml:space="preserve"> Η αγορά του δικαιώματος προαίρεσης δεν δίνει στον κάτοχο το δικαίωμα να αγοράσει τους τίτλους ή άλλες αξίες του δείκτη και δεν υποχρεώνει τον συγγραφέα να τις πωλήσει.</w:t>
      </w:r>
      <w:r>
        <w:rPr xmlns:w="http://schemas.openxmlformats.org/wordprocessingml/2006/main">
          <w:rFonts w:ascii="Calibri" w:cs="Calibri" w:eastAsia="Calibri" w:hAnsi="Calibri"/>
          <w:sz w:val="22"/>
          <w:szCs w:val="22"/>
          <w:color w:val="auto"/>
        </w:rPr>
        <w:t xml:space="preserve"> Ο κάτοχος του δικαιώματος προαίρεσης είναι το πρόσωπο που αγοράζει το δικαίωμα που μεταβιβάζεται από την επιλογή και καταβάλλει στο συγγραφέα μια μη επιστρεπτέα πληρωμή που ονομάζεται «πριμοδότηση».</w:t>
      </w:r>
      <w:r>
        <w:rPr xmlns:w="http://schemas.openxmlformats.org/wordprocessingml/2006/main">
          <w:rFonts w:ascii="Calibri" w:cs="Calibri" w:eastAsia="Calibri" w:hAnsi="Calibri"/>
          <w:sz w:val="22"/>
          <w:szCs w:val="22"/>
          <w:color w:val="auto"/>
        </w:rPr>
        <w:t xml:space="preserve"> Ο διαχειριστής του δικαιώματος προαίρεσης υποχρεούται - αν και όταν του ανατίθεται μια άσκηση - να εκτελέσει σύμφωνα με τους όρους πληρωμής του «ποσού διακανονισμού άσκησης» στον κάτοχο του δικαιώματος προαίρεσης, το οποίο υπολογίζεται ως η διαφορά μεταξύ της τιμής άσκησης και της αξίας διακανονισμού άσκησης.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Ένα δικαίωμα προαίρεσης αγοράς παρέχει στον κάτοχο το δικαίωμα να ασκήσει το δικαίωμα να συμμετάσχει σε κέρδη στην αξία του δείκτη πάνω από την τιμή άσκησης και ένα δικαίωμα πώλησης δίνει στον κάτοχο το δικαίωμα να ασκήσει το δικαίωμα να συμμετάσχει σε μειώσεις στην αξία του δείκτη κάτω από την τιμή άσκησης.</w:t>
      </w:r>
      <w:r>
        <w:rPr xmlns:w="http://schemas.openxmlformats.org/wordprocessingml/2006/main">
          <w:rFonts w:ascii="Calibri" w:cs="Calibri" w:eastAsia="Calibri" w:hAnsi="Calibri"/>
          <w:sz w:val="22"/>
          <w:szCs w:val="22"/>
          <w:color w:val="auto"/>
        </w:rPr>
        <w:t xml:space="preserve"> Στους παράγοντες που επηρεάζουν την αξία ενός δικαιώματος προαίρεσης περιλαμβάνονται η τιμή άσκησης, ο χρόνος έως τη λήξη και η αξία του υποκείμενου δείκτη και η ευαισθησία του στις διακυμάνσεις των τιμών (μεταβλητότητα).</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ind w:right="140"/>
        <w:spacing w:after="0" w:line="209"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μια σε βάθος κατανόηση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400"/>
          </w:cols>
          <w:pgMar w:left="940" w:top="699" w:right="900" w:bottom="207" w:gutter="0" w:footer="0" w:header="0"/>
        </w:sectPr>
      </w:pPr>
    </w:p>
    <w:bookmarkStart w:id="1" w:name="page2"/>
    <w:bookmarkEnd w:id="1"/>
    <w:p>
      <w:pPr xmlns:w="http://schemas.openxmlformats.org/wordprocessingml/2006/main">
        <w:ind w:right="3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855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855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1.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08558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855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1.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το προϊόν και μπορεί να αντέξει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4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δικαιώματος προαίρεσης διατρέχει τον κίνδυνο να χάσει ολόκληρο το ασφάλιστρο αν η τιμή άσκησης για την κλήση είναι υψηλότερη από την τρέχουσα αγοραία αξία του υποκείμενου δείκτη ή η τιμή άσκησης για μια θέση είναι χαμηλότερη από την αγοραία αξία.</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Ένας κάτοχος δικαιώματος προαίρεσης που δεν πωλεί την επιλογή του ούτε την ασκεί πριν από τη λήξη της μπορεί να χάσει ολόκληρη την επένδυσή του στο δικαίωμα προαίρεσης.</w:t>
      </w:r>
    </w:p>
    <w:p>
      <w:pPr>
        <w:spacing w:after="0" w:line="80"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ως προς την αξία του υποκείμενου δείκτη.</w:t>
      </w:r>
    </w:p>
    <w:p>
      <w:pPr>
        <w:spacing w:after="0" w:line="79" w:lineRule="exact"/>
        <w:rPr>
          <w:rFonts w:ascii="Symbol" w:cs="Symbol" w:eastAsia="Symbol" w:hAnsi="Symbol"/>
          <w:sz w:val="22"/>
          <w:szCs w:val="22"/>
          <w:color w:val="auto"/>
        </w:rPr>
      </w:pPr>
    </w:p>
    <w:p>
      <w:pPr xmlns:w="http://schemas.openxmlformats.org/wordprocessingml/2006/main">
        <w:ind w:left="220" w:right="14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60" w:hanging="214"/>
        <w:spacing w:after="0" w:line="213"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8" w:lineRule="exact"/>
        <w:rPr>
          <w:sz w:val="20"/>
          <w:szCs w:val="20"/>
          <w:color w:val="auto"/>
        </w:rPr>
      </w:pPr>
    </w:p>
    <w:p>
      <w:pPr xmlns:w="http://schemas.openxmlformats.org/wordprocessingml/2006/main">
        <w:ind w:right="16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12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91262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12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912620"/>
                    </a:xfrm>
                    <a:prstGeom prst="rect">
                      <a:avLst/>
                    </a:prstGeom>
                    <a:noFill/>
                  </pic:spPr>
                </pic:pic>
              </a:graphicData>
            </a:graphic>
          </wp:anchor>
        </w:drawing>
      </w:r>
    </w:p>
    <w:p>
      <w:pPr>
        <w:sectPr>
          <w:pgSz w:w="12240" w:h="15840" w:orient="portrait"/>
          <w:cols w:equalWidth="0" w:num="1">
            <w:col w:w="10340"/>
          </w:cols>
          <w:pgMar w:left="940" w:top="774" w:right="960" w:bottom="281" w:gutter="0" w:footer="0" w:header="0"/>
        </w:sectPr>
      </w:pPr>
    </w:p>
    <w:p>
      <w:pPr>
        <w:spacing w:after="0" w:line="134" w:lineRule="exact"/>
        <w:rPr>
          <w:sz w:val="20"/>
          <w:szCs w:val="20"/>
          <w:color w:val="auto"/>
        </w:rPr>
      </w:pPr>
    </w:p>
    <w:p>
      <w:pPr xmlns:w="http://schemas.openxmlformats.org/wordprocessingml/2006/main">
        <w:jc w:val="center"/>
        <w:ind w:left="480"/>
        <w:spacing w:after="0"/>
        <w:rPr>
          <w:sz w:val="20"/>
          <w:szCs w:val="20"/>
          <w:color w:val="auto"/>
        </w:rPr>
      </w:pPr>
      <w:r>
        <w:rPr xmlns:w="http://schemas.openxmlformats.org/wordprocessingml/2006/main">
          <w:rFonts w:ascii="Calibri" w:cs="Calibri" w:eastAsia="Calibri" w:hAnsi="Calibri"/>
          <w:sz w:val="16"/>
          <w:szCs w:val="16"/>
          <w:color w:val="595959"/>
        </w:rPr>
        <w:t xml:space="preserve">P/L για κάτοχο κλήσης δείκτη (Premium $ 500·</w:t>
      </w:r>
      <w:r>
        <w:rPr xmlns:w="http://schemas.openxmlformats.org/wordprocessingml/2006/main">
          <w:rFonts w:ascii="Calibri" w:cs="Calibri" w:eastAsia="Calibri" w:hAnsi="Calibri"/>
          <w:sz w:val="16"/>
          <w:szCs w:val="16"/>
          <w:color w:val="595959"/>
        </w:rPr>
        <w:t xml:space="preserve"> Τιμή άσκησης (45 $)</w:t>
      </w:r>
    </w:p>
    <w:p>
      <w:pPr>
        <w:spacing w:after="0" w:line="173"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6.000 $</w:t>
      </w:r>
    </w:p>
    <w:p>
      <w:pPr>
        <w:spacing w:after="0" w:line="114"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4.000 $</w:t>
      </w:r>
    </w:p>
    <w:p>
      <w:pPr>
        <w:spacing w:after="0" w:line="114"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2.000 $</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34"/>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0" w:type="dxa"/>
            <w:vAlign w:val="bottom"/>
          </w:tcPr>
          <w:p>
            <w:pPr>
              <w:spacing w:after="0"/>
              <w:rPr>
                <w:sz w:val="1"/>
                <w:szCs w:val="1"/>
                <w:color w:val="auto"/>
              </w:rPr>
            </w:pPr>
          </w:p>
        </w:tc>
      </w:tr>
      <w:tr>
        <w:trPr>
          <w:trHeight w:val="334"/>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-2.000 $</w:t>
            </w:r>
          </w:p>
        </w:tc>
        <w:tc>
          <w:tcPr>
            <w:tcW w:w="0" w:type="dxa"/>
            <w:vAlign w:val="bottom"/>
          </w:tcPr>
          <w:p>
            <w:pPr>
              <w:spacing w:after="0"/>
              <w:rPr>
                <w:sz w:val="1"/>
                <w:szCs w:val="1"/>
                <w:color w:val="auto"/>
              </w:rPr>
            </w:pPr>
          </w:p>
        </w:tc>
      </w:tr>
    </w:tbl>
    <w:p>
      <w:pPr>
        <w:spacing w:after="0" w:line="15" w:lineRule="exact"/>
        <w:rPr>
          <w:sz w:val="20"/>
          <w:szCs w:val="20"/>
          <w:color w:val="auto"/>
        </w:rPr>
      </w:pPr>
    </w:p>
    <w:p>
      <w:pPr xmlns:w="http://schemas.openxmlformats.org/wordprocessingml/2006/main">
        <w:jc w:val="right"/>
        <w:spacing w:after="0"/>
        <w:tabs>
          <w:tab w:leader="none" w:pos="4020" w:val="left"/>
          <w:tab w:leader="none" w:pos="3280" w:val="left"/>
          <w:tab w:leader="none" w:pos="2520" w:val="left"/>
          <w:tab w:leader="none" w:pos="1780" w:val="left"/>
          <w:tab w:leader="none" w:pos="108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w:spacing w:after="0" w:line="62" w:lineRule="exact"/>
        <w:rPr>
          <w:sz w:val="20"/>
          <w:szCs w:val="20"/>
          <w:color w:val="auto"/>
        </w:rPr>
      </w:pPr>
    </w:p>
    <w:p>
      <w:pPr xmlns:w="http://schemas.openxmlformats.org/wordprocessingml/2006/main">
        <w:ind w:left="254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δείκτη</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Κίνηση Του Υποκείμενου Δείκτη Αγοράς Σε Ακραίες Συνθήκες (</w:t>
      </w:r>
      <w:r>
        <w:rPr xmlns:w="http://schemas.openxmlformats.org/wordprocessingml/2006/main">
          <w:rFonts w:ascii="Calibri" w:cs="Calibri" w:eastAsia="Calibri" w:hAnsi="Calibri"/>
          <w:sz w:val="16"/>
          <w:szCs w:val="16"/>
          <w:u w:val="single" w:color="auto"/>
          <w:color w:val="FF0000"/>
        </w:rPr>
        <w:t xml:space="preserve">Red Plot)</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FF0000"/>
        </w:rPr>
        <w:t xml:space="preserve">Σημείο</w:t>
      </w:r>
      <w:r>
        <w:rPr xmlns:w="http://schemas.openxmlformats.org/wordprocessingml/2006/main">
          <w:rFonts w:ascii="Calibri" w:cs="Calibri" w:eastAsia="Calibri" w:hAnsi="Calibri"/>
          <w:sz w:val="16"/>
          <w:szCs w:val="16"/>
          <w:u w:val="single" w:color="auto"/>
          <w:color w:val="000000"/>
        </w:rPr>
        <w:t xml:space="preserve">)</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100 $</w:t>
      </w:r>
    </w:p>
    <w:p>
      <w:pPr>
        <w:spacing w:after="0" w:line="41"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Δυσμενής για το συγγραφέα -$5000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+ 5.000 $</w:t>
      </w:r>
    </w:p>
    <w:p>
      <w:pPr>
        <w:spacing w:after="0" w:line="2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Κίνηση Του Δείκτη Υποκείμενης Αγοράς Μέτριας Ισχύος (</w:t>
      </w:r>
      <w:r>
        <w:rPr xmlns:w="http://schemas.openxmlformats.org/wordprocessingml/2006/main">
          <w:rFonts w:ascii="Calibri" w:cs="Calibri" w:eastAsia="Calibri" w:hAnsi="Calibri"/>
          <w:sz w:val="16"/>
          <w:szCs w:val="16"/>
          <w:u w:val="single" w:color="auto"/>
          <w:color w:val="00B050"/>
        </w:rPr>
        <w:t xml:space="preserve">Πράσινο Οικόπεδο)</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Σημείο</w:t>
      </w:r>
      <w:r>
        <w:rPr xmlns:w="http://schemas.openxmlformats.org/wordprocessingml/2006/main">
          <w:rFonts w:ascii="Calibri" w:cs="Calibri" w:eastAsia="Calibri" w:hAnsi="Calibri"/>
          <w:sz w:val="16"/>
          <w:szCs w:val="16"/>
          <w:u w:val="single" w:color="auto"/>
          <w:color w:val="000000"/>
        </w:rPr>
        <w:t xml:space="preserve">)</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60 $</w:t>
      </w:r>
    </w:p>
    <w:p>
      <w:pPr>
        <w:spacing w:after="0" w:line="41"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Δυσμενής για το συγγραφέα -$1000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+ 1.000 $</w:t>
      </w:r>
    </w:p>
    <w:p>
      <w:pPr>
        <w:spacing w:after="0" w:line="34" w:lineRule="exact"/>
        <w:rPr>
          <w:sz w:val="20"/>
          <w:szCs w:val="20"/>
          <w:color w:val="auto"/>
        </w:rPr>
      </w:pPr>
    </w:p>
    <w:p>
      <w:pPr xmlns:w="http://schemas.openxmlformats.org/wordprocessingml/2006/main">
        <w:ind w:right="12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200" w:lineRule="exact"/>
        <w:rPr>
          <w:sz w:val="20"/>
          <w:szCs w:val="20"/>
          <w:color w:val="auto"/>
        </w:rPr>
      </w:pPr>
    </w:p>
    <w:p>
      <w:pPr>
        <w:sectPr>
          <w:pgSz w:w="12240" w:h="15840" w:orient="portrait"/>
          <w:cols w:equalWidth="0" w:num="2">
            <w:col w:w="6020" w:space="440"/>
            <w:col w:w="3880"/>
          </w:cols>
          <w:pgMar w:left="940" w:top="774" w:right="960" w:bottom="281" w:gutter="0" w:footer="0" w:header="0"/>
          <w:type w:val="continuous"/>
        </w:sectPr>
      </w:pPr>
    </w:p>
    <w:p>
      <w:pPr>
        <w:spacing w:after="0" w:line="275" w:lineRule="exact"/>
        <w:rPr>
          <w:sz w:val="20"/>
          <w:szCs w:val="20"/>
          <w:color w:val="auto"/>
        </w:r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 περιλαμβάνουν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340"/>
          </w:cols>
          <w:pgMar w:left="940" w:top="774" w:right="960" w:bottom="281"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6447790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7.7pt" to="573.35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7988300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9pt" to="573.35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έξοδα που πληρώνετε στο σύμβουλό σας ή στο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πρόσωπο θα σας δώσει πληροφορίες σχετικά με αυτά</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και πώς επηρεάζουν την επένδυσή σας.</w:t>
            </w:r>
            <w:r>
              <w:rPr xmlns:w="http://schemas.openxmlformats.org/wordprocessingml/2006/main">
                <w:rFonts w:ascii="Calibri" w:cs="Calibri" w:eastAsia="Calibri" w:hAnsi="Calibri"/>
                <w:sz w:val="22"/>
                <w:szCs w:val="22"/>
                <w:color w:val="auto"/>
              </w:rPr>
              <w:t xml:space="preserve"> Συγκέντρωση</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κόστος για τυποποιημένες επιλογές δείκτη εξαρτάται από</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καταβληθέν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από τον κάτοχο στον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την τιμή του δείκτη, τον χρόνο μέχρι τη λήξη της επιλογής, και</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που περιλαμβάνει φορολογικά ζητήματα, κόστος συναλλαγής</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και των περιθωρίων κέρδους που μπορούν να επηρεάσουν σημαντικά</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κέρδος ή 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περιλαμβάνουν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 σημαίνει περιουσιακά στοιχεία</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να κατατεθεί από ένα συγγραφέα με μεσιτεία του</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καταβολής της άσκησης</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ποσό διακανονισμού.</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 και</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εκχωρημένο, ένα πρόγραμμα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Διαχωρισμός</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από τα έξοδα των επενδυτών, τα τέλη OCC για τα τέλη</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την εκκαθάριση αυτού του προϊόντος στα εκκαθαριστικά μέλη του, αλλά όχι</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απευθείας σε εσάς: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τον κάτοχο, όπως και η απόφαση τόσο για τους κατόχους όσο και για τους συγγραφείς του δικαιώματος προαίρεσης να κλείσουν μια υπάρχουσα θέση προαίρεσης πριν από τη λήξη ή την άσκησή της.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ασκήσουν τη σύμβαση ή τις συμβάσεις δικαιωμάτων προαίρεσης ή να αποκλείσουν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0"/>
          <w:szCs w:val="20"/>
          <w:color w:val="auto"/>
        </w:rPr>
        <w:t xml:space="preserve">ΗΠΑ</w:t>
      </w:r>
      <w:r>
        <w:rPr xmlns:w="http://schemas.openxmlformats.org/wordprocessingml/2006/main">
          <w:rFonts w:ascii="Calibri" w:cs="Calibri" w:eastAsia="Calibri" w:hAnsi="Calibri"/>
          <w:sz w:val="20"/>
          <w:szCs w:val="20"/>
          <w:color w:val="auto"/>
        </w:rPr>
        <w:t xml:space="preserve"> Επιτροπή Κεφαλαιαγοράς</w:t>
      </w:r>
    </w:p>
    <w:p>
      <w:pPr xmlns:w="http://schemas.openxmlformats.org/wordprocessingml/2006/main">
        <w:ind w:left="340"/>
        <w:spacing w:after="0" w:line="238" w:lineRule="auto"/>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0"/>
          <w:szCs w:val="20"/>
          <w:color w:val="auto"/>
        </w:rPr>
        <w:t xml:space="preserve">Γραφείο Εκπαίδευσης και Υπεράσπισης Επενδυτών</w:t>
      </w:r>
    </w:p>
    <w:p>
      <w:pPr>
        <w:spacing w:after="0" w:line="1"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20"/>
          <w:szCs w:val="20"/>
          <w:color w:val="auto"/>
        </w:rPr>
        <w:t xml:space="preserve">100 F Street, N.E.</w:t>
      </w:r>
    </w:p>
    <w:p>
      <w:pPr>
        <w:spacing w:after="0" w:line="1"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(240) 386-ΒΟΗΘΕΙΑ (4357) Φαξ:</w:t>
      </w:r>
      <w:r>
        <w:rPr xmlns:w="http://schemas.openxmlformats.org/wordprocessingml/2006/main">
          <w:rFonts w:ascii="Calibri" w:cs="Calibri" w:eastAsia="Calibri" w:hAnsi="Calibri"/>
          <w:sz w:val="20"/>
          <w:szCs w:val="20"/>
          <w:color w:val="auto"/>
        </w:rPr>
        <w:t xml:space="preserve"> (86) 397-3290</w:t>
        <w:tab xmlns:w="http://schemas.openxmlformats.org/wordprocessingml/2006/main"/>
      </w:r>
      <w:r>
        <w:rPr xmlns:w="http://schemas.openxmlformats.org/wordprocessingml/2006/main">
          <w:rFonts w:ascii="Calibri" w:cs="Calibri" w:eastAsia="Calibri" w:hAnsi="Calibri"/>
          <w:sz w:val="20"/>
          <w:szCs w:val="20"/>
          <w:color w:val="auto"/>
        </w:rPr>
        <w:t xml:space="preserve">Ουάσινγκτον, DC 20549-0213 Φαξ:</w:t>
      </w:r>
      <w:r>
        <w:rPr xmlns:w="http://schemas.openxmlformats.org/wordprocessingml/2006/main">
          <w:rFonts w:ascii="Calibri" w:cs="Calibri" w:eastAsia="Calibri" w:hAnsi="Calibri"/>
          <w:sz w:val="20"/>
          <w:szCs w:val="20"/>
          <w:color w:val="auto"/>
        </w:rPr>
        <w:t xml:space="preserve">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799pt"/>
            </w:pict>
          </mc:Fallback>
        </mc:AlternateContent>
      </w:r>
    </w:p>
    <w:p>
      <w:pPr>
        <w:sectPr>
          <w:pgSz w:w="12240" w:h="15840" w:orient="portrait"/>
          <w:cols w:equalWidth="0" w:num="1">
            <w:col w:w="10740"/>
          </w:cols>
          <w:pgMar w:left="720" w:top="774" w:right="780" w:bottom="650"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740"/>
      </w:cols>
      <w:pgMar w:left="720" w:top="774" w:right="780" w:bottom="65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7AB5D4B5"/>
    <w:multiLevelType w:val="hybridMultilevel"/>
    <w:lvl w:ilvl="0">
      <w:lvlJc w:val="left"/>
      <w:lvlText w:val="·"/>
      <w:numFmt w:val="bullet"/>
      <w:start w:val="1"/>
    </w:lvl>
  </w:abstractNum>
  <w:abstractNum w:abstractNumId="1">
    <w:nsid w:val="2259BD01"/>
    <w:multiLevelType w:val="hybridMultilevel"/>
    <w:lvl w:ilvl="0">
      <w:lvlJc w:val="left"/>
      <w:lvlText w:val="·"/>
      <w:numFmt w:val="bullet"/>
      <w:start w:val="1"/>
    </w:lvl>
  </w:abstractNum>
  <w:abstractNum w:abstractNumId="2">
    <w:nsid w:val="68C45075"/>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2024-05-20T14:39:35Z</dcterms:created>
  <dcterms:modified xsi:type="dcterms:W3CDTF">2024-05-20T14:39:35Z</dcterms:modified>
</cp:coreProperties>
</file>