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443230</wp:posOffset>
                </wp:positionH>
                <wp:positionV relativeFrom="page">
                  <wp:posOffset>372110</wp:posOffset>
                </wp:positionV>
                <wp:extent cx="683387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3387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34.9pt;margin-top:29.3pt;width:538.1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490855</wp:posOffset>
                </wp:positionH>
                <wp:positionV relativeFrom="page">
                  <wp:posOffset>372110</wp:posOffset>
                </wp:positionV>
                <wp:extent cx="673925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3925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38.65pt;margin-top:29.3pt;width:530.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84784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73.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871220</wp:posOffset>
                </wp:positionV>
                <wp:extent cx="68478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68.6pt" to="573.6pt,68.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1746250</wp:posOffset>
                </wp:positionV>
                <wp:extent cx="684784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37.5pt" to="573.6pt,1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2961005</wp:posOffset>
                </wp:positionV>
                <wp:extent cx="684784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33.15pt" to="573.6pt,233.1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4501515</wp:posOffset>
                </wp:positionV>
                <wp:extent cx="684784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54.45pt" to="573.6pt,354.4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893699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69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32.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7281545</wp:posOffset>
                </wp:positionH>
                <wp:positionV relativeFrom="page">
                  <wp:posOffset>365125</wp:posOffset>
                </wp:positionV>
                <wp:extent cx="0" cy="893699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69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35pt,28.75pt" to="573.35pt,732.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Επιλογές σε συμβόλαια μελλοντικής εκπλήρωσης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25400</wp:posOffset>
                </wp:positionV>
                <wp:extent cx="683323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3235" cy="868680"/>
                        </a:xfrm>
                        <a:prstGeom prst="rect">
                          <a:avLst/>
                        </a:prstGeom>
                        <a:solidFill>
                          <a:srgbClr val="9CC2E5"/>
                        </a:solidFill>
                      </wps:spPr>
                      <wps:bodyPr/>
                    </wps:wsp>
                  </a:graphicData>
                </a:graphic>
              </wp:anchor>
            </w:drawing>
          </mc:Choice>
          <mc:Fallback>
            <w:pict>
              <v:rect id="Shape 10" o:spid="_x0000_s1035" style="position:absolute;margin-left:-5.0499pt;margin-top:2pt;width:538.0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24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Επιλογή Long Put σε Futures.</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δικαιώματα προαίρεσης επί συμβολαίων μελλοντικής εκπλήρωσης (a/k/a "futures options").</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δικαιώματα προαίρεσης επί συμβολαίων μελλοντικής εκπλήρωσης είναι εισηγμένα και αποτελούν αντικείμενο διαπραγμάτευσης σε χρηματιστήρια συμβολαίων μελλοντικής εκπλήρωσης στις ΗΠΑ που είναι εγγεγραμμένα στην Επιτροπή Προθεσμιακών Συναλλαγών επί Εμπορευμάτων των ΗΠΑ ("CFTC") και εκδίδονται, εκκαθαρίζονται και διακανονίζονται από την OCC, έναν οργανισμό εκκαθάρισης παραγώγων που είναι εγγεγραμμένος στην CFTC.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τα χρηματιστήρια συμβολαίων μελλοντικής εκπλήρωσης στις ΗΠΑ, οι επενδυτές μπορούν να επισκεφθούν τον δικτυακό τόπο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δικαιώματα προαίρεσης επί συμβολαίων μελλοντικής εκπλήρωσης έως ότου διαβάσουν και κατανοήσουν το παρόν έγγραφο και τυχόν πρόσθετες γνωστοποιήσεις που παρέχει ο μεσίτης τους, η ουσία των οποίων μπορεί να περιλαμβάνει τη Δήλωση Γνωστοποίησης Κινδύνου της Εθνικής Ένωσης Συμβολαίων Μελλοντικής Εκπλήρωσης ("NFA") </w:t>
      </w:r>
      <w:r>
        <w:rPr xmlns:w="http://schemas.openxmlformats.org/wordprocessingml/2006/main">
          <w:rFonts w:ascii="Calibri" w:cs="Calibri" w:eastAsia="Calibri" w:hAnsi="Calibri"/>
          <w:sz w:val="22"/>
          <w:szCs w:val="22"/>
          <w:u w:val="single" w:color="auto"/>
          <w:color w:val="auto"/>
        </w:rPr>
        <w:t xml:space="preserve">για συμβόλαια μελλοντικής εκπλήρωσης επί τίτλων,</w:t>
      </w:r>
      <w:r>
        <w:rPr xmlns:w="http://schemas.openxmlformats.org/wordprocessingml/2006/main">
          <w:rFonts w:ascii="Calibri" w:cs="Calibri" w:eastAsia="Calibri" w:hAnsi="Calibri"/>
          <w:sz w:val="22"/>
          <w:szCs w:val="22"/>
          <w:color w:val="auto"/>
        </w:rPr>
        <w:t xml:space="preserve"> τη διεύθυνση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 </w:t>
      </w:r>
      <w:r>
        <w:rPr xmlns:w="http://schemas.openxmlformats.org/wordprocessingml/2006/main">
          <w:rFonts w:ascii="Calibri" w:cs="Calibri" w:eastAsia="Calibri" w:hAnsi="Calibri"/>
          <w:sz w:val="22"/>
          <w:szCs w:val="22"/>
          <w:color w:val="000000"/>
        </w:rPr>
        <w:t xml:space="preserve">και τις Ομοιόμορφες Προθεσμιακές Συμβάσεις </w:t>
      </w:r>
      <w:r>
        <w:rPr xmlns:w="http://schemas.openxmlformats.org/wordprocessingml/2006/main">
          <w:rFonts w:ascii="Calibri" w:cs="Calibri" w:eastAsia="Calibri" w:hAnsi="Calibri"/>
          <w:sz w:val="22"/>
          <w:szCs w:val="22"/>
          <w:u w:val="single" w:color="auto"/>
          <w:color w:val="000000"/>
        </w:rPr>
        <w:t xml:space="preserve">και Δικαιώματα Προαίρεσης για Γνωστοποιήσεις Κινδύνου Συμβολαίων Μελλοντικής Εκπλήρωσης (NFA)</w:t>
      </w:r>
      <w:r>
        <w:rPr xmlns:w="http://schemas.openxmlformats.org/wordprocessingml/2006/main">
          <w:rFonts w:ascii="Calibri" w:cs="Calibri" w:eastAsia="Calibri" w:hAnsi="Calibri"/>
          <w:sz w:val="22"/>
          <w:szCs w:val="22"/>
          <w:color w:val="000000"/>
        </w:rPr>
        <w:t xml:space="preserve">, </w:t>
      </w:r>
      <w:r>
        <w:rPr xmlns:w="http://schemas.openxmlformats.org/wordprocessingml/2006/main">
          <w:rFonts w:ascii="Calibri" w:cs="Calibri" w:eastAsia="Calibri" w:hAnsi="Calibri"/>
          <w:sz w:val="22"/>
          <w:szCs w:val="22"/>
          <w:u w:val="single" w:color="auto"/>
          <w:color w:val="0563C1"/>
        </w:rPr>
        <w:t xml:space="preserve">https://lc.fia.org/uniform-futures-and-options -συμβόλαια μελλοντικής εκπλήρωσης-κίνδυνος</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Οι γνωστοποιήσεις στο παρόν θα πρέπει να </w:t>
      </w:r>
      <w:r>
        <w:rPr xmlns:w="http://schemas.openxmlformats.org/wordprocessingml/2006/main">
          <w:rFonts w:ascii="Calibri" w:cs="Calibri" w:eastAsia="Calibri" w:hAnsi="Calibri"/>
          <w:sz w:val="22"/>
          <w:szCs w:val="22"/>
          <w:color w:val="000000"/>
        </w:rPr>
        <w:t xml:space="preserve">ερμηνεύονται κατά τρόπο συνεπή προς τις γνωστοποιήσεις αυτές.</w:t>
      </w:r>
      <w:r>
        <w:rPr xmlns:w="http://schemas.openxmlformats.org/wordprocessingml/2006/main">
          <w:rFonts w:ascii="Calibri" w:cs="Calibri" w:eastAsia="Calibri" w:hAnsi="Calibri"/>
          <w:sz w:val="22"/>
          <w:szCs w:val="22"/>
          <w:color w:val="000000"/>
        </w:rPr>
        <w:t xml:space="preserve"> Επιπλέον, επειδή το υποκείμενο μέσο μιας επιλογής συμβολαίων μελλοντικής εκπλήρωσης είναι συμβόλαιο μελλοντικής εκπλήρωσης, οι επενδυτές θα πρέπει να διαβάσουν και να κατανοήσουν το σχετικό έγγραφο βασικών πληροφοριών για το συμβόλαιο μελλοντικής εκπλήρωσης στο οποίο βασίζεται η επιλογή συμβολαίων μελλοντικής εκπλήρωσης.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24130</wp:posOffset>
                </wp:positionV>
                <wp:extent cx="6833235" cy="47898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3235" cy="4789805"/>
                        </a:xfrm>
                        <a:prstGeom prst="rect">
                          <a:avLst/>
                        </a:prstGeom>
                        <a:solidFill>
                          <a:srgbClr val="BDD6EE"/>
                        </a:solidFill>
                      </wps:spPr>
                      <wps:bodyPr/>
                    </wps:wsp>
                  </a:graphicData>
                </a:graphic>
              </wp:anchor>
            </w:drawing>
          </mc:Choice>
          <mc:Fallback>
            <w:pict>
              <v:rect id="Shape 11" o:spid="_x0000_s1036" style="position:absolute;margin-left:-5.0499pt;margin-top:1.9pt;width:538.05pt;height:377.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64" w:lineRule="exact"/>
        <w:rPr>
          <w:sz w:val="24"/>
          <w:szCs w:val="24"/>
          <w:color w:val="auto"/>
        </w:rPr>
      </w:pPr>
    </w:p>
    <w:p>
      <w:pPr xmlns:w="http://schemas.openxmlformats.org/wordprocessingml/2006/main">
        <w:ind w:right="10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Δικαίωμα προαίρεσης επί συμβολαίων μελλοντικής εκπλήρωσης είναι το δικαίωμα αγοράς ή πώλησης συγκεκριμένου συμβολαίου μελλοντικής εκπλήρωσης σε καθορισμένη τιμή (</w:t>
      </w:r>
      <w:r>
        <w:rPr xmlns:w="http://schemas.openxmlformats.org/wordprocessingml/2006/main">
          <w:rFonts w:ascii="Calibri" w:cs="Calibri" w:eastAsia="Calibri" w:hAnsi="Calibri"/>
          <w:sz w:val="22"/>
          <w:szCs w:val="22"/>
          <w:i w:val="1"/>
          <w:iCs w:val="1"/>
          <w:color w:val="auto"/>
        </w:rPr>
        <w:t xml:space="preserve">δηλαδή «</w:t>
      </w:r>
      <w:r>
        <w:rPr xmlns:w="http://schemas.openxmlformats.org/wordprocessingml/2006/main">
          <w:rFonts w:ascii="Calibri" w:cs="Calibri" w:eastAsia="Calibri" w:hAnsi="Calibri"/>
          <w:sz w:val="22"/>
          <w:szCs w:val="22"/>
          <w:color w:val="auto"/>
        </w:rPr>
        <w:t xml:space="preserve">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Το άνοιγμα στο υποκείμενο συμβόλαιο μελλοντικής εκπλήρωσης, και στο υποκείμενο επιτόκιο στο εν λόγω μέλλον, είναι επομένως έμμεσο, επειδή η αξία του δικαιώματος προαίρεσης απορρέει από την αξία του υποκείμενου μέλλοντος.</w:t>
      </w:r>
      <w:r>
        <w:rPr xmlns:w="http://schemas.openxmlformats.org/wordprocessingml/2006/main">
          <w:rFonts w:ascii="Calibri" w:cs="Calibri" w:eastAsia="Calibri" w:hAnsi="Calibri"/>
          <w:sz w:val="22"/>
          <w:szCs w:val="22"/>
          <w:color w:val="auto"/>
        </w:rPr>
        <w:t xml:space="preserve"> Οι ημερομηνίες λήξης για τις επιλογές συμβολαίων μελλοντικής εκπλήρωσης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p>
    <w:p>
      <w:pPr>
        <w:spacing w:after="0" w:line="68"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Σε ορισμένες εξαιρετικές περιπτώσεις, η ανταλλαγή προθεσμιακών συμβολαίων μελλοντικής εκπλήρωσης στις ΗΠΑ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Ένα εταιρικό γεγονός που αφορά την υποκείμενη σύμβαση συμβολαίων μελλοντικής εκπλήρωσης ή το υποκείμενο συμφέρον που μπορεί να οδηγήσει σε μεταβολή των όρων του δικαιώματος σύμφωνα με τους κανόνες του OCC, το οποίο μπορεί να διαφέρει από τη μεθοδολογία που χρησιμοποιείται στις ευρωπαϊκές αγορές.</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64" w:lineRule="exact"/>
        <w:rPr>
          <w:sz w:val="24"/>
          <w:szCs w:val="24"/>
          <w:color w:val="auto"/>
        </w:rPr>
      </w:pPr>
    </w:p>
    <w:p>
      <w:pPr xmlns:w="http://schemas.openxmlformats.org/wordprocessingml/2006/main">
        <w:ind w:right="2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δικαιοπάροχος είναι υποχρεωμένος - αν και όταν του ανατίθεται μια άσκηση - να εκτελεί σύμφωνα με τους όρους είτε να αγοράσει είτε να πωλήσει το υποκείμενο συμβόλαιο μελλοντικής εκπλήρωσης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δικαιώματα προαίρεσης επί συμβολαίων μελλοντικής εκπλήρωσης διακανονίζονται γενικά μέσω της άσκησης του υποκείμενου συμβολαίου μελλοντικής εκπλήρωσης.</w:t>
      </w:r>
      <w:r>
        <w:rPr xmlns:w="http://schemas.openxmlformats.org/wordprocessingml/2006/main">
          <w:rFonts w:ascii="Calibri" w:cs="Calibri" w:eastAsia="Calibri" w:hAnsi="Calibri"/>
          <w:sz w:val="22"/>
          <w:szCs w:val="22"/>
          <w:color w:val="auto"/>
        </w:rPr>
        <w:t xml:space="preserve"> Αυτό σημαίνει ότι ο κάτοχος δικαιώματος πώλησης, κατά την άσκησή του, θα αποκτούσε μια αρνητική θέση στο υποκείμενο συμβόλαιο μελλοντικής εκπλήρωσης που τιμολογείται στην τιμή άσκησης του δικαιώματος προαίρεσης.</w:t>
      </w:r>
      <w:r>
        <w:rPr xmlns:w="http://schemas.openxmlformats.org/wordprocessingml/2006/main">
          <w:rFonts w:ascii="Calibri" w:cs="Calibri" w:eastAsia="Calibri" w:hAnsi="Calibri"/>
          <w:sz w:val="22"/>
          <w:szCs w:val="22"/>
          <w:color w:val="auto"/>
        </w:rPr>
        <w:t xml:space="preserve"> Ορισμένα δικαιώματα προαίρεσης επί συμβολαίων μελλοντικής εκπλήρωσης μπορούν αντ' αυτού να διακανονιστούν σε μετρητά, οπότε ο κάτοχος θα λάβει πληρωμή σε μετρητά αν, κατά την άσκηση, η αξία του υποκείμενου συμβολαίου μελλοντικής εκπλήρωσης είναι μικρότερη από την τιμή άσκησης.</w:t>
      </w:r>
      <w:r>
        <w:rPr xmlns:w="http://schemas.openxmlformats.org/wordprocessingml/2006/main">
          <w:rFonts w:ascii="Calibri" w:cs="Calibri" w:eastAsia="Calibri" w:hAnsi="Calibri"/>
          <w:sz w:val="22"/>
          <w:szCs w:val="22"/>
          <w:color w:val="auto"/>
        </w:rPr>
        <w:t xml:space="preserve"> Στους παράγοντες που επηρεάζουν την αξία ενός δικαιώματος προαίρεσης επί συμβολαίου μελλοντικής εκπλήρωσης περιλαμβάνονται η τιμή άσκησης, ο χρόνος έως τη λήξη και η αξία του υποκείμενου συμβολαίου μελλοντικής εκπλήρωσης και η ευαισθησία του στις διακυμάνσεις των τιμών (μεταβλητότητα).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67" w:lineRule="exact"/>
        <w:rPr>
          <w:sz w:val="24"/>
          <w:szCs w:val="24"/>
          <w:color w:val="auto"/>
        </w:rPr>
      </w:pPr>
    </w:p>
    <w:p>
      <w:pPr xmlns:w="http://schemas.openxmlformats.org/wordprocessingml/2006/main">
        <w:ind w:right="2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17780</wp:posOffset>
                </wp:positionV>
                <wp:extent cx="68472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2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4pt" to="533.6pt,1.4pt" o:allowincell="f" strokecolor="#000000" strokeweight="0.4799pt"/>
            </w:pict>
          </mc:Fallback>
        </mc:AlternateContent>
      </w:r>
    </w:p>
    <w:p>
      <w:pPr>
        <w:sectPr>
          <w:pgSz w:w="12240" w:h="15840" w:orient="portrait"/>
          <w:cols w:equalWidth="0" w:num="1">
            <w:col w:w="10560"/>
          </w:cols>
          <w:pgMar w:left="800" w:top="555" w:right="880" w:bottom="659"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84784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73.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9323705</wp:posOffset>
                </wp:positionV>
                <wp:extent cx="684784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734.15pt" to="573.6pt,734.1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930910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3091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61.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7281545</wp:posOffset>
                </wp:positionH>
                <wp:positionV relativeFrom="page">
                  <wp:posOffset>365125</wp:posOffset>
                </wp:positionV>
                <wp:extent cx="0" cy="930910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3091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35pt,28.75pt" to="573.35pt,761.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1060450</wp:posOffset>
            </wp:positionH>
            <wp:positionV relativeFrom="paragraph">
              <wp:posOffset>15875</wp:posOffset>
            </wp:positionV>
            <wp:extent cx="4944110" cy="18091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44110" cy="1809115"/>
                    </a:xfrm>
                    <a:prstGeom prst="rect">
                      <a:avLst/>
                    </a:prstGeom>
                    <a:noFill/>
                  </pic:spPr>
                </pic:pic>
              </a:graphicData>
            </a:graphic>
          </wp:anchor>
        </w:drawing>
        <w:drawing>
          <wp:anchor simplePos="0" relativeHeight="251657728" behindDoc="1" locked="0" layoutInCell="0" allowOverlap="1">
            <wp:simplePos x="0" y="0"/>
            <wp:positionH relativeFrom="column">
              <wp:posOffset>1060450</wp:posOffset>
            </wp:positionH>
            <wp:positionV relativeFrom="paragraph">
              <wp:posOffset>15875</wp:posOffset>
            </wp:positionV>
            <wp:extent cx="4944110" cy="18091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44110" cy="1809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20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τους κατόχους και τους συγγραφείς εξαρτάται από τους όρους του, αλλά μπορεί να περιλαμβάνει τα ακόλουθα:</w:t>
      </w:r>
    </w:p>
    <w:p>
      <w:pPr>
        <w:spacing w:after="0" w:line="79" w:lineRule="exact"/>
        <w:rPr>
          <w:sz w:val="20"/>
          <w:szCs w:val="20"/>
          <w:color w:val="auto"/>
        </w:rPr>
      </w:pPr>
    </w:p>
    <w:p>
      <w:pPr xmlns:w="http://schemas.openxmlformats.org/wordprocessingml/2006/main">
        <w:jc w:val="both"/>
        <w:ind w:left="220" w:right="120" w:hanging="218"/>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μπορεί να χάσει ολόκληρο το ασφάλιστρο αν η τιμή άσκησης για μια κλήση είναι πάνω από την αγοραία αξία του υποκείμενου μέσου ή αν η τιμή άσκησης για μια θέση είναι κάτω από αυτήν.</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Ο κάτοχος ο οποίος δεν πωλεί ούτε ασκεί την επιλογή του πριν από τη λήξη της μπορεί να χάσει ολόκληρη την επένδυσή του.</w:t>
      </w:r>
    </w:p>
    <w:p>
      <w:pPr>
        <w:spacing w:after="0" w:line="76" w:lineRule="exact"/>
        <w:rPr>
          <w:rFonts w:ascii="Symbol" w:cs="Symbol" w:eastAsia="Symbol" w:hAnsi="Symbol"/>
          <w:sz w:val="22"/>
          <w:szCs w:val="22"/>
          <w:color w:val="auto"/>
        </w:rPr>
      </w:pPr>
    </w:p>
    <w:p>
      <w:pPr xmlns:w="http://schemas.openxmlformats.org/wordprocessingml/2006/main">
        <w:jc w:val="both"/>
        <w:ind w:left="220" w:right="80" w:hanging="218"/>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αμερικανικό χρηματιστήριο προθεσμιακών συμβολαίων μελλοντικής εκπλήρωσης (futures options), όπου τα δικαιώματα προαίρεσης γίνονται αποκλειστικά αντικείμενο διαπραγμάτευσης, καθίσταται μη διαθέσιμο, οι επενδυτές δεν θα μπορούσαν πλέον να προβούν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επί συμβολαίων μελλοντικής εκπλήρωσης δεν θα διατηρούν συνήθεις ή αναμενόμενες σχέσεις με τις αξίες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20" w:right="44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το υποκείμενο συμβόλαιο μελλοντικής εκπλήρωσης για ένα εξασκημένο δικαίωμα προαίρεσης δεν είναι διαθέσιμο, οι κανόνες της OCC ενδέχεται να απαιτούν εναλλακτική μορφή διακανονισμού, όπως διακανονισμό τοις μετρητοίς.</w:t>
      </w:r>
    </w:p>
    <w:p>
      <w:pPr>
        <w:spacing w:after="0" w:line="80" w:lineRule="exact"/>
        <w:rPr>
          <w:rFonts w:ascii="Symbol" w:cs="Symbol" w:eastAsia="Symbol" w:hAnsi="Symbol"/>
          <w:sz w:val="22"/>
          <w:szCs w:val="22"/>
          <w:color w:val="auto"/>
        </w:rPr>
      </w:pPr>
    </w:p>
    <w:p>
      <w:pPr xmlns:w="http://schemas.openxmlformats.org/wordprocessingml/2006/main">
        <w:ind w:left="220" w:right="62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Οι επενδυτές θα πρέπει να λαμβάνουν υπόψη το προφίλ κινδύνου και απόδοσης του συμβολαίου μελλοντικής εκπλήρωσης στο οποίο βασίζεται η επιλογή συμβολαίου μελλοντικής εκπλήρωσης, όπως περιγράφεται στο σχετικό έγγραφο βασικών πληροφοριών για το υποκείμενο συμβόλαιο μελλοντικής εκπλήρωσης.</w:t>
      </w:r>
    </w:p>
    <w:p>
      <w:pPr>
        <w:spacing w:after="0" w:line="2" w:lineRule="exact"/>
        <w:rPr>
          <w:rFonts w:ascii="Symbol" w:cs="Symbol" w:eastAsia="Symbol" w:hAnsi="Symbol"/>
          <w:sz w:val="22"/>
          <w:szCs w:val="22"/>
          <w:color w:val="auto"/>
        </w:rPr>
      </w:pPr>
    </w:p>
    <w:p>
      <w:pPr xmlns:w="http://schemas.openxmlformats.org/wordprocessingml/2006/main">
        <w:ind w:left="220" w:hanging="218"/>
        <w:spacing w:after="0" w:line="23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80" w:hanging="218"/>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67" w:lineRule="exact"/>
        <w:rPr>
          <w:sz w:val="20"/>
          <w:szCs w:val="20"/>
          <w:color w:val="auto"/>
        </w:rPr>
      </w:pPr>
    </w:p>
    <w:p>
      <w:pPr xmlns:w="http://schemas.openxmlformats.org/wordprocessingml/2006/main">
        <w:ind w:right="36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19050</wp:posOffset>
            </wp:positionH>
            <wp:positionV relativeFrom="paragraph">
              <wp:posOffset>14605</wp:posOffset>
            </wp:positionV>
            <wp:extent cx="6583680" cy="16217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extLst>
                    </a:blip>
                    <a:srcRect/>
                    <a:stretch>
                      <a:fillRect/>
                    </a:stretch>
                  </pic:blipFill>
                  <pic:spPr bwMode="auto">
                    <a:xfrm>
                      <a:off x="0" y="0"/>
                      <a:ext cx="6583680" cy="1621790"/>
                    </a:xfrm>
                    <a:prstGeom prst="rect">
                      <a:avLst/>
                    </a:prstGeom>
                    <a:noFill/>
                  </pic:spPr>
                </pic:pic>
              </a:graphicData>
            </a:graphic>
          </wp:anchor>
        </w:drawing>
        <w:drawing>
          <wp:anchor simplePos="0" relativeHeight="251657728" behindDoc="1" locked="0" layoutInCell="0" allowOverlap="1">
            <wp:simplePos x="0" y="0"/>
            <wp:positionH relativeFrom="column">
              <wp:posOffset>19050</wp:posOffset>
            </wp:positionH>
            <wp:positionV relativeFrom="paragraph">
              <wp:posOffset>14605</wp:posOffset>
            </wp:positionV>
            <wp:extent cx="6583680" cy="16217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extLst>
                    </a:blip>
                    <a:srcRect/>
                    <a:stretch>
                      <a:fillRect/>
                    </a:stretch>
                  </pic:blipFill>
                  <pic:spPr bwMode="auto">
                    <a:xfrm>
                      <a:off x="0" y="0"/>
                      <a:ext cx="6583680" cy="1621790"/>
                    </a:xfrm>
                    <a:prstGeom prst="rect">
                      <a:avLst/>
                    </a:prstGeom>
                    <a:noFill/>
                  </pic:spPr>
                </pic:pic>
              </a:graphicData>
            </a:graphic>
          </wp:anchor>
        </w:drawing>
      </w:r>
    </w:p>
    <w:p>
      <w:pPr>
        <w:sectPr>
          <w:pgSz w:w="12240" w:h="15840" w:orient="portrait"/>
          <w:cols w:equalWidth="0" w:num="1">
            <w:col w:w="10540"/>
          </w:cols>
          <w:pgMar w:left="800" w:top="562" w:right="900" w:bottom="73"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620" w:type="dxa"/>
            <w:vAlign w:val="bottom"/>
            <w:gridSpan w:val="4"/>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595959"/>
              </w:rPr>
              <w:t xml:space="preserve">P/L της κατοχής δικαιώματος πώλησης (Πριμοδότηση $ 5·</w:t>
            </w:r>
            <w:r>
              <w:rPr xmlns:w="http://schemas.openxmlformats.org/wordprocessingml/2006/main">
                <w:rFonts w:ascii="Calibri" w:cs="Calibri" w:eastAsia="Calibri" w:hAnsi="Calibri"/>
                <w:sz w:val="16"/>
                <w:szCs w:val="16"/>
                <w:color w:val="595959"/>
              </w:rPr>
              <w:t xml:space="preserve"> Τιμή άσκησης (45 $)</w:t>
            </w: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7"/>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960" w:type="dxa"/>
            <w:vAlign w:val="bottom"/>
          </w:tcPr>
          <w:p>
            <w:pPr xmlns:w="http://schemas.openxmlformats.org/wordprocessingml/2006/main">
              <w:jc w:val="right"/>
              <w:ind w:right="175"/>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820" w:type="dxa"/>
            <w:vAlign w:val="bottom"/>
          </w:tcPr>
          <w:p>
            <w:pPr xmlns:w="http://schemas.openxmlformats.org/wordprocessingml/2006/main">
              <w:jc w:val="right"/>
              <w:ind w:right="195"/>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800" w:type="dxa"/>
            <w:vAlign w:val="bottom"/>
          </w:tcPr>
          <w:p>
            <w:pPr xmlns:w="http://schemas.openxmlformats.org/wordprocessingml/2006/main">
              <w:jc w:val="right"/>
              <w:ind w:right="17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1040" w:type="dxa"/>
            <w:vAlign w:val="bottom"/>
          </w:tcPr>
          <w:p>
            <w:pPr xmlns:w="http://schemas.openxmlformats.org/wordprocessingml/2006/main">
              <w:jc w:val="right"/>
              <w:ind w:right="41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58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w w:val="93"/>
              </w:rPr>
              <w:t xml:space="preserve">100 $</w:t>
            </w:r>
          </w:p>
        </w:tc>
        <w:tc>
          <w:tcPr>
            <w:tcW w:w="6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120 $</w:t>
            </w:r>
          </w:p>
        </w:tc>
        <w:tc>
          <w:tcPr>
            <w:tcW w:w="0" w:type="dxa"/>
            <w:vAlign w:val="bottom"/>
          </w:tcPr>
          <w:p>
            <w:pPr>
              <w:spacing w:after="0"/>
              <w:rPr>
                <w:sz w:val="1"/>
                <w:szCs w:val="1"/>
                <w:color w:val="auto"/>
              </w:rPr>
            </w:pPr>
          </w:p>
        </w:tc>
      </w:tr>
      <w:tr>
        <w:trPr>
          <w:trHeight w:val="235"/>
        </w:trPr>
        <w:tc>
          <w:tcPr>
            <w:tcW w:w="160" w:type="dxa"/>
            <w:vAlign w:val="bottom"/>
          </w:tcPr>
          <w:p>
            <w:pPr>
              <w:spacing w:after="0"/>
              <w:rPr>
                <w:sz w:val="20"/>
                <w:szCs w:val="20"/>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30 $</w:t>
            </w:r>
          </w:p>
        </w:tc>
        <w:tc>
          <w:tcPr>
            <w:tcW w:w="96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81"/>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9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3"/>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9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
        </w:trPr>
        <w:tc>
          <w:tcPr>
            <w:tcW w:w="16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96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8"/>
        </w:trPr>
        <w:tc>
          <w:tcPr>
            <w:tcW w:w="160" w:type="dxa"/>
            <w:vAlign w:val="bottom"/>
          </w:tcPr>
          <w:p>
            <w:pPr>
              <w:spacing w:after="0"/>
              <w:rPr>
                <w:sz w:val="22"/>
                <w:szCs w:val="22"/>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9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81"/>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960" w:type="dxa"/>
            <w:vAlign w:val="bottom"/>
          </w:tcPr>
          <w:p>
            <w:pPr>
              <w:spacing w:after="0"/>
              <w:rPr>
                <w:sz w:val="24"/>
                <w:szCs w:val="24"/>
                <w:color w:val="auto"/>
              </w:rPr>
            </w:pPr>
          </w:p>
        </w:tc>
        <w:tc>
          <w:tcPr>
            <w:tcW w:w="2660" w:type="dxa"/>
            <w:vAlign w:val="bottom"/>
            <w:gridSpan w:val="3"/>
            <w:vMerge w:val="restart"/>
          </w:tcPr>
          <w:p>
            <w:pPr xmlns:w="http://schemas.openxmlformats.org/wordprocessingml/2006/main">
              <w:jc w:val="center"/>
              <w:ind w:right="13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2660" w:type="dxa"/>
            <w:vAlign w:val="bottom"/>
            <w:gridSpan w:val="3"/>
            <w:vMerge w:val="continue"/>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54" w:lineRule="exact"/>
        <w:rPr>
          <w:sz w:val="20"/>
          <w:szCs w:val="20"/>
          <w:color w:val="auto"/>
        </w:rPr>
      </w:pPr>
    </w:p>
    <w:p>
      <w:pPr xmlns:w="http://schemas.openxmlformats.org/wordprocessingml/2006/main">
        <w:ind w:right="54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Red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Αγοραία Τιμή:</w:t>
      </w:r>
      <w:r>
        <w:rPr xmlns:w="http://schemas.openxmlformats.org/wordprocessingml/2006/main">
          <w:rFonts w:ascii="Calibri" w:cs="Calibri" w:eastAsia="Calibri" w:hAnsi="Calibri"/>
          <w:sz w:val="16"/>
          <w:szCs w:val="16"/>
          <w:color w:val="auto"/>
        </w:rPr>
        <w:t xml:space="preserve"> 15 $</w:t>
      </w:r>
    </w:p>
    <w:p>
      <w:pPr>
        <w:spacing w:after="0" w:line="63" w:lineRule="exact"/>
        <w:rPr>
          <w:sz w:val="20"/>
          <w:szCs w:val="20"/>
          <w:color w:val="auto"/>
        </w:rPr>
      </w:pPr>
    </w:p>
    <w:p>
      <w:pPr xmlns:w="http://schemas.openxmlformats.org/wordprocessingml/2006/main">
        <w:ind w:left="300" w:hanging="150"/>
        <w:spacing w:after="0"/>
        <w:tabs>
          <w:tab w:leader="none" w:pos="30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-$25</w:t>
      </w:r>
    </w:p>
    <w:p>
      <w:pPr xmlns:w="http://schemas.openxmlformats.org/wordprocessingml/2006/main">
        <w:ind w:left="160"/>
        <w:spacing w:after="0" w:line="197"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6"/>
          <w:szCs w:val="16"/>
          <w:color w:val="auto"/>
        </w:rPr>
        <w:t xml:space="preserve">+$25</w:t>
      </w:r>
    </w:p>
    <w:p>
      <w:pPr>
        <w:spacing w:after="0" w:line="154" w:lineRule="exact"/>
        <w:rPr>
          <w:sz w:val="20"/>
          <w:szCs w:val="20"/>
          <w:color w:val="auto"/>
        </w:rPr>
      </w:pPr>
    </w:p>
    <w:p>
      <w:pPr xmlns:w="http://schemas.openxmlformats.org/wordprocessingml/2006/main">
        <w:ind w:right="32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6"/>
          <w:szCs w:val="16"/>
          <w:u w:val="single" w:color="auto"/>
          <w:color w:val="00B050"/>
        </w:rPr>
        <w:t xml:space="preserve">Πράσινο Σημείο Γεωτεμαχίου</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Αγοραία Τιμή:</w:t>
      </w:r>
      <w:r>
        <w:rPr xmlns:w="http://schemas.openxmlformats.org/wordprocessingml/2006/main">
          <w:rFonts w:ascii="Calibri" w:cs="Calibri" w:eastAsia="Calibri" w:hAnsi="Calibri"/>
          <w:sz w:val="16"/>
          <w:szCs w:val="16"/>
          <w:color w:val="auto"/>
        </w:rPr>
        <w:t xml:space="preserve"> 35 $</w:t>
      </w:r>
    </w:p>
    <w:p>
      <w:pPr>
        <w:spacing w:after="0" w:line="60" w:lineRule="exact"/>
        <w:rPr>
          <w:sz w:val="20"/>
          <w:szCs w:val="20"/>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w:t>
      </w:r>
    </w:p>
    <w:p>
      <w:pPr xmlns:w="http://schemas.openxmlformats.org/wordprocessingml/2006/main">
        <w:ind w:left="16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+$5</w:t>
      </w:r>
    </w:p>
    <w:p>
      <w:pPr>
        <w:spacing w:after="0" w:line="96" w:lineRule="exact"/>
        <w:rPr>
          <w:sz w:val="20"/>
          <w:szCs w:val="20"/>
          <w:color w:val="auto"/>
        </w:rPr>
      </w:pPr>
    </w:p>
    <w:p>
      <w:pPr xmlns:w="http://schemas.openxmlformats.org/wordprocessingml/2006/main">
        <w:ind w:right="30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μείον το ασφάλιστρο.</w:t>
      </w:r>
    </w:p>
    <w:p>
      <w:pPr>
        <w:spacing w:after="0" w:line="200" w:lineRule="exact"/>
        <w:rPr>
          <w:sz w:val="20"/>
          <w:szCs w:val="20"/>
          <w:color w:val="auto"/>
        </w:rPr>
      </w:pPr>
    </w:p>
    <w:p>
      <w:pPr>
        <w:sectPr>
          <w:pgSz w:w="12240" w:h="15840" w:orient="portrait"/>
          <w:cols w:equalWidth="0" w:num="2">
            <w:col w:w="6180" w:space="300"/>
            <w:col w:w="4060"/>
          </w:cols>
          <w:pgMar w:left="800" w:top="562" w:right="900" w:bottom="73" w:gutter="0" w:footer="0" w:header="0"/>
          <w:type w:val="continuous"/>
        </w:sectPr>
      </w:pPr>
    </w:p>
    <w:p>
      <w:pPr>
        <w:spacing w:after="0" w:line="91" w:lineRule="exact"/>
        <w:rPr>
          <w:sz w:val="20"/>
          <w:szCs w:val="20"/>
          <w:color w:val="auto"/>
        </w:rPr>
      </w:pPr>
    </w:p>
    <w:p>
      <w:pPr xmlns:w="http://schemas.openxmlformats.org/wordprocessingml/2006/main">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δείχνει τις πιθανές τιμές του υποκείμενου και ο κατακόρυφος άξονας δείχνει το κέρδος ή τη ζημία.</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80" w:lineRule="exact"/>
        <w:rPr>
          <w:sz w:val="20"/>
          <w:szCs w:val="20"/>
          <w:color w:val="auto"/>
        </w:rPr>
      </w:pPr>
    </w:p>
    <w:p>
      <w:pPr xmlns:w="http://schemas.openxmlformats.org/wordprocessingml/2006/main">
        <w:ind w:right="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του OCC έχουν σχεδιαστεί έτσι ώστε η απόδοση σε όλα τα δικαιώματα προαίρεσης επί συμβολαίων μελλοντικής εκπλήρωσης να είναι μεταξύ του OCC και ενός ομίλου εταιρειών μεσιτείας που ονομάζονται εκκαθαριστικά μέλη και διαθέτουν τις θέσεις όλων των δικαιωμάτων προαίρεσης επί συμβολαίων μελλοντικής εκπλήρωσης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17145</wp:posOffset>
                </wp:positionV>
                <wp:extent cx="6847205"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2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35pt" to="533.6pt,1.35pt" o:allowincell="f" strokecolor="#000000" strokeweight="0.4799pt"/>
            </w:pict>
          </mc:Fallback>
        </mc:AlternateContent>
      </w:r>
    </w:p>
    <w:p>
      <w:pPr>
        <w:sectPr>
          <w:pgSz w:w="12240" w:h="15840" w:orient="portrait"/>
          <w:cols w:equalWidth="0" w:num="1">
            <w:col w:w="10540"/>
          </w:cols>
          <w:pgMar w:left="800" w:top="562" w:right="900" w:bottom="73" w:gutter="0" w:footer="0" w:header="0"/>
          <w:type w:val="continuous"/>
        </w:sectPr>
      </w:pPr>
    </w:p>
    <w:bookmarkStart w:id="2" w:name="page3"/>
    <w:bookmarkEnd w:id="2"/>
    <w:p>
      <w:pPr xmlns:w="http://schemas.openxmlformats.org/wordprocessingml/2006/main">
        <w:ind w:left="220" w:right="60"/>
        <w:spacing w:after="0" w:line="232"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84784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73.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1738630</wp:posOffset>
                </wp:positionV>
                <wp:extent cx="684784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36.9pt" to="573.6pt,136.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5838190</wp:posOffset>
                </wp:positionV>
                <wp:extent cx="684784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459.7pt" to="573.6pt,459.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7378700</wp:posOffset>
                </wp:positionV>
                <wp:extent cx="684784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581pt" to="573.6pt,58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896175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7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3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7281545</wp:posOffset>
                </wp:positionH>
                <wp:positionV relativeFrom="page">
                  <wp:posOffset>365125</wp:posOffset>
                </wp:positionV>
                <wp:extent cx="0" cy="8961755"/>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7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35pt,28.75pt" to="573.35pt,73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κατόχους και συγγραφείς στους λογαριασμούς τους OCC.</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18" w:lineRule="exact"/>
        <w:rPr>
          <w:sz w:val="20"/>
          <w:szCs w:val="20"/>
          <w:color w:val="auto"/>
        </w:rPr>
      </w:pPr>
    </w:p>
    <w:tbl>
      <w:tblPr>
        <w:tblLayout w:type="fixed"/>
        <w:tblInd w:w="220" w:type="dxa"/>
        <w:tblCellMar>
          <w:top w:w="0" w:type="dxa"/>
          <w:left w:w="0" w:type="dxa"/>
          <w:bottom w:w="0" w:type="dxa"/>
          <w:right w:w="0" w:type="dxa"/>
        </w:tblCellMar>
      </w:tblPr>
      <w:tr>
        <w:trPr>
          <w:trHeight w:val="268"/>
        </w:trPr>
        <w:tc>
          <w:tcPr>
            <w:tcW w:w="534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DADADA"/>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220" w:type="dxa"/>
            <w:vAlign w:val="bottom"/>
            <w:tcBorders>
              <w:top w:val="single" w:sz="8" w:color="auto"/>
              <w:bottom w:val="single" w:sz="8" w:color="auto"/>
            </w:tcBorders>
            <w:shd w:val="clear" w:color="auto" w:fill="DADADA"/>
          </w:tcPr>
          <w:p>
            <w:pPr>
              <w:spacing w:after="0"/>
              <w:rPr>
                <w:sz w:val="23"/>
                <w:szCs w:val="23"/>
                <w:color w:val="auto"/>
              </w:rPr>
            </w:pPr>
          </w:p>
        </w:tc>
        <w:tc>
          <w:tcPr>
            <w:tcW w:w="480" w:type="dxa"/>
            <w:vAlign w:val="bottom"/>
            <w:tcBorders>
              <w:top w:val="single" w:sz="8" w:color="auto"/>
              <w:bottom w:val="single" w:sz="8" w:color="auto"/>
            </w:tcBorders>
            <w:shd w:val="clear" w:color="auto" w:fill="DADADA"/>
          </w:tcPr>
          <w:p>
            <w:pPr>
              <w:spacing w:after="0"/>
              <w:rPr>
                <w:sz w:val="23"/>
                <w:szCs w:val="23"/>
                <w:color w:val="auto"/>
              </w:rPr>
            </w:pPr>
          </w:p>
        </w:tc>
        <w:tc>
          <w:tcPr>
            <w:tcW w:w="960" w:type="dxa"/>
            <w:vAlign w:val="bottom"/>
            <w:tcBorders>
              <w:top w:val="single" w:sz="8" w:color="auto"/>
              <w:bottom w:val="single" w:sz="8" w:color="auto"/>
            </w:tcBorders>
            <w:shd w:val="clear" w:color="auto" w:fill="DADADA"/>
          </w:tcPr>
          <w:p>
            <w:pPr>
              <w:spacing w:after="0"/>
              <w:rPr>
                <w:sz w:val="23"/>
                <w:szCs w:val="23"/>
                <w:color w:val="auto"/>
              </w:rPr>
            </w:pPr>
          </w:p>
        </w:tc>
        <w:tc>
          <w:tcPr>
            <w:tcW w:w="280" w:type="dxa"/>
            <w:vAlign w:val="bottom"/>
            <w:tcBorders>
              <w:top w:val="single" w:sz="8" w:color="auto"/>
              <w:bottom w:val="single" w:sz="8" w:color="auto"/>
            </w:tcBorders>
            <w:shd w:val="clear" w:color="auto" w:fill="DADADA"/>
          </w:tcPr>
          <w:p>
            <w:pPr>
              <w:spacing w:after="0"/>
              <w:rPr>
                <w:sz w:val="23"/>
                <w:szCs w:val="23"/>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3"/>
                <w:szCs w:val="23"/>
                <w:color w:val="auto"/>
              </w:rPr>
            </w:pP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0" w:type="dxa"/>
            <w:vAlign w:val="bottom"/>
          </w:tcPr>
          <w:p>
            <w:pPr>
              <w:spacing w:after="0"/>
              <w:rPr>
                <w:sz w:val="1"/>
                <w:szCs w:val="1"/>
                <w:color w:val="auto"/>
              </w:rPr>
            </w:pPr>
          </w:p>
        </w:tc>
      </w:tr>
      <w:tr>
        <w:trPr>
          <w:trHeight w:val="251"/>
        </w:trPr>
        <w:tc>
          <w:tcPr>
            <w:tcW w:w="5340" w:type="dxa"/>
            <w:vAlign w:val="bottom"/>
            <w:tcBorders>
              <w:right w:val="single" w:sz="8" w:color="auto"/>
            </w:tcBorders>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 αυτό</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100" w:type="dxa"/>
            <w:vAlign w:val="bottom"/>
            <w:tcBorders>
              <w:bottom w:val="single" w:sz="8" w:color="auto"/>
            </w:tcBorders>
          </w:tcPr>
          <w:p>
            <w:pPr>
              <w:spacing w:after="0"/>
              <w:rPr>
                <w:sz w:val="21"/>
                <w:szCs w:val="21"/>
                <w:color w:val="auto"/>
              </w:rPr>
            </w:pPr>
          </w:p>
        </w:tc>
        <w:tc>
          <w:tcPr>
            <w:tcW w:w="22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0" w:type="dxa"/>
            <w:vAlign w:val="bottom"/>
          </w:tcPr>
          <w:p>
            <w:pPr>
              <w:spacing w:after="0"/>
              <w:rPr>
                <w:sz w:val="1"/>
                <w:szCs w:val="1"/>
                <w:color w:val="auto"/>
              </w:rPr>
            </w:pPr>
          </w:p>
        </w:tc>
      </w:tr>
      <w:tr>
        <w:trPr>
          <w:trHeight w:val="242"/>
        </w:trPr>
        <w:tc>
          <w:tcPr>
            <w:tcW w:w="5340" w:type="dxa"/>
            <w:vAlign w:val="bottom"/>
            <w:tcBorders>
              <w:right w:val="single" w:sz="8" w:color="auto"/>
            </w:tcBorders>
          </w:tcPr>
          <w:p>
            <w:pPr xmlns:w="http://schemas.openxmlformats.org/wordprocessingml/2006/main">
              <w:spacing w:after="0" w:line="223" w:lineRule="exact"/>
              <w:rPr>
                <w:sz w:val="20"/>
                <w:szCs w:val="20"/>
                <w:color w:val="auto"/>
              </w:rPr>
            </w:pPr>
            <w:r>
              <w:rPr xmlns:w="http://schemas.openxmlformats.org/wordprocessingml/2006/main">
                <w:rFonts w:ascii="Calibri" w:cs="Calibri" w:eastAsia="Calibri" w:hAnsi="Calibri"/>
                <w:sz w:val="22"/>
                <w:szCs w:val="22"/>
                <w:color w:val="auto"/>
              </w:rPr>
              <w:t xml:space="preserve">πρόσωπο θα σας δώσει πληροφορίες σχετικά με αυτά</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100" w:type="dxa"/>
            <w:vAlign w:val="bottom"/>
            <w:tcBorders>
              <w:bottom w:val="single" w:sz="8" w:color="auto"/>
            </w:tcBorders>
          </w:tcPr>
          <w:p>
            <w:pPr>
              <w:spacing w:after="0"/>
              <w:rPr>
                <w:sz w:val="21"/>
                <w:szCs w:val="21"/>
                <w:color w:val="auto"/>
              </w:rPr>
            </w:pPr>
          </w:p>
        </w:tc>
        <w:tc>
          <w:tcPr>
            <w:tcW w:w="22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0" w:type="dxa"/>
            <w:vAlign w:val="bottom"/>
          </w:tcPr>
          <w:p>
            <w:pPr>
              <w:spacing w:after="0"/>
              <w:rPr>
                <w:sz w:val="1"/>
                <w:szCs w:val="1"/>
                <w:color w:val="auto"/>
              </w:rPr>
            </w:pPr>
          </w:p>
        </w:tc>
      </w:tr>
      <w:tr>
        <w:trPr>
          <w:trHeight w:val="239"/>
        </w:trPr>
        <w:tc>
          <w:tcPr>
            <w:tcW w:w="5340" w:type="dxa"/>
            <w:vAlign w:val="bottom"/>
          </w:tcPr>
          <w:p>
            <w:pPr xmlns:w="http://schemas.openxmlformats.org/wordprocessingml/2006/main">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και πώς επηρεάζουν την επένδυσή σας.</w:t>
            </w:r>
            <w:r>
              <w:rPr xmlns:w="http://schemas.openxmlformats.org/wordprocessingml/2006/main">
                <w:rFonts w:ascii="Calibri" w:cs="Calibri" w:eastAsia="Calibri" w:hAnsi="Calibri"/>
                <w:sz w:val="22"/>
                <w:szCs w:val="22"/>
                <w:color w:val="auto"/>
              </w:rPr>
              <w:t xml:space="preserve"> Συγκέντρωση</w:t>
            </w:r>
          </w:p>
        </w:tc>
        <w:tc>
          <w:tcPr>
            <w:tcW w:w="1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κόστος για τις επιλογές συμβολαίων μελλοντικής εκπλήρωσης εξαρτάται από πολλαπλούς παράγοντες.</w:t>
            </w:r>
            <w:r>
              <w:rPr xmlns:w="http://schemas.openxmlformats.org/wordprocessingml/2006/main">
                <w:rFonts w:ascii="Calibri" w:cs="Calibri" w:eastAsia="Calibri" w:hAnsi="Calibri"/>
                <w:sz w:val="22"/>
                <w:szCs w:val="22"/>
                <w:color w:val="auto"/>
              </w:rPr>
              <w:t xml:space="preserve"> Αν</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8"/>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τίμημα του δικαιώματος προαίρεσης είναι το κόστος που καταβάλλει ο κάτοχος στο</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0" w:type="dxa"/>
            <w:vAlign w:val="bottom"/>
          </w:tcPr>
          <w:p>
            <w:pPr>
              <w:spacing w:after="0"/>
              <w:rPr>
                <w:sz w:val="1"/>
                <w:szCs w:val="1"/>
                <w:color w:val="auto"/>
              </w:rPr>
            </w:pPr>
          </w:p>
        </w:tc>
      </w:tr>
      <w:tr>
        <w:trPr>
          <w:trHeight w:val="240"/>
        </w:trPr>
        <w:tc>
          <w:tcPr>
            <w:tcW w:w="53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συγγραφέας.</w:t>
            </w:r>
            <w:r>
              <w:rPr xmlns:w="http://schemas.openxmlformats.org/wordprocessingml/2006/main">
                <w:rFonts w:ascii="Calibri" w:cs="Calibri" w:eastAsia="Calibri" w:hAnsi="Calibri"/>
                <w:sz w:val="22"/>
                <w:szCs w:val="22"/>
                <w:color w:val="auto"/>
              </w:rPr>
              <w:t xml:space="preserve"> Παράγοντες που επηρεάζουν σημαντικά την πριμοδότηση</w:t>
            </w:r>
          </w:p>
        </w:tc>
        <w:tc>
          <w:tcPr>
            <w:tcW w:w="1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0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86"/>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να περιλαμβάνουν, αλλά δεν περιορίζονται σε, τους υποκείμενους</w:t>
            </w:r>
          </w:p>
        </w:tc>
        <w:tc>
          <w:tcPr>
            <w:tcW w:w="100" w:type="dxa"/>
            <w:vAlign w:val="bottom"/>
          </w:tcPr>
          <w:p>
            <w:pPr>
              <w:spacing w:after="0"/>
              <w:rPr>
                <w:sz w:val="16"/>
                <w:szCs w:val="16"/>
                <w:color w:val="auto"/>
              </w:rPr>
            </w:pPr>
          </w:p>
        </w:tc>
        <w:tc>
          <w:tcPr>
            <w:tcW w:w="1440" w:type="dxa"/>
            <w:vAlign w:val="bottom"/>
            <w:tcBorders>
              <w:right w:val="single" w:sz="8" w:color="auto"/>
            </w:tcBorders>
            <w:gridSpan w:val="2"/>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100" w:type="dxa"/>
            <w:vAlign w:val="bottom"/>
          </w:tcPr>
          <w:p>
            <w:pPr>
              <w:spacing w:after="0"/>
              <w:rPr>
                <w:sz w:val="16"/>
                <w:szCs w:val="16"/>
                <w:color w:val="auto"/>
              </w:rPr>
            </w:pPr>
          </w:p>
        </w:tc>
        <w:tc>
          <w:tcPr>
            <w:tcW w:w="2060" w:type="dxa"/>
            <w:vAlign w:val="bottom"/>
            <w:tcBorders>
              <w:right w:val="single" w:sz="8" w:color="auto"/>
            </w:tcBorders>
            <w:gridSpan w:val="5"/>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00" w:type="dxa"/>
            <w:vAlign w:val="bottom"/>
          </w:tcPr>
          <w:p>
            <w:pPr>
              <w:spacing w:after="0"/>
              <w:rPr>
                <w:sz w:val="16"/>
                <w:szCs w:val="16"/>
                <w:color w:val="auto"/>
              </w:rPr>
            </w:pPr>
          </w:p>
        </w:tc>
        <w:tc>
          <w:tcPr>
            <w:tcW w:w="14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53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gridSpan w:val="2"/>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0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αξία, χρόνος μέχρι τη λήξη, και την τιμή άσκησης.</w:t>
            </w:r>
            <w:r>
              <w:rPr xmlns:w="http://schemas.openxmlformats.org/wordprocessingml/2006/main">
                <w:rFonts w:ascii="Calibri" w:cs="Calibri" w:eastAsia="Calibri" w:hAnsi="Calibri"/>
                <w:sz w:val="22"/>
                <w:szCs w:val="22"/>
                <w:color w:val="auto"/>
              </w:rPr>
              <w:t xml:space="preserve"> Επιλογές</w:t>
            </w:r>
          </w:p>
        </w:tc>
        <w:tc>
          <w:tcPr>
            <w:tcW w:w="100" w:type="dxa"/>
            <w:vAlign w:val="bottom"/>
          </w:tcPr>
          <w:p>
            <w:pPr>
              <w:spacing w:after="0"/>
              <w:rPr>
                <w:sz w:val="11"/>
                <w:szCs w:val="11"/>
                <w:color w:val="auto"/>
              </w:rPr>
            </w:pPr>
          </w:p>
        </w:tc>
        <w:tc>
          <w:tcPr>
            <w:tcW w:w="1440" w:type="dxa"/>
            <w:vAlign w:val="bottom"/>
            <w:tcBorders>
              <w:right w:val="single" w:sz="8" w:color="auto"/>
            </w:tcBorders>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534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103"/>
        </w:trPr>
        <w:tc>
          <w:tcPr>
            <w:tcW w:w="534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η επένδυση συνεπάγεται πρόσθετες δαπάνες που περιλαμβάνουν φόρους</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gridSpan w:val="2"/>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2060" w:type="dxa"/>
            <w:vAlign w:val="bottom"/>
            <w:tcBorders>
              <w:bottom w:val="single" w:sz="8" w:color="auto"/>
              <w:right w:val="single" w:sz="8" w:color="auto"/>
            </w:tcBorders>
            <w:gridSpan w:val="5"/>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4"/>
        </w:trPr>
        <w:tc>
          <w:tcPr>
            <w:tcW w:w="53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gridSpan w:val="2"/>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61"/>
        </w:trPr>
        <w:tc>
          <w:tcPr>
            <w:tcW w:w="534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18"/>
        </w:trPr>
        <w:tc>
          <w:tcPr>
            <w:tcW w:w="53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εκτιμήσεις, κόστος συναλλαγής και περιθώριο</w:t>
            </w:r>
          </w:p>
        </w:tc>
        <w:tc>
          <w:tcPr>
            <w:tcW w:w="100" w:type="dxa"/>
            <w:vAlign w:val="bottom"/>
          </w:tcPr>
          <w:p>
            <w:pPr>
              <w:spacing w:after="0"/>
              <w:rPr>
                <w:sz w:val="18"/>
                <w:szCs w:val="18"/>
                <w:color w:val="auto"/>
              </w:rPr>
            </w:pPr>
          </w:p>
        </w:tc>
        <w:tc>
          <w:tcPr>
            <w:tcW w:w="1440" w:type="dxa"/>
            <w:vAlign w:val="bottom"/>
            <w:tcBorders>
              <w:right w:val="single" w:sz="8" w:color="auto"/>
            </w:tcBorders>
            <w:gridSpan w:val="2"/>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5340" w:type="dxa"/>
            <w:vAlign w:val="bottom"/>
            <w:tcBorders>
              <w:right w:val="single" w:sz="8" w:color="auto"/>
            </w:tcBorders>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απαιτήσεις που μπορούν να επηρεάσουν σημαντικά τα αποτελέσματα.</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204"/>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κόστος της συναλλαγής αποτελείται κυρίως από προμήθειες</w:t>
            </w:r>
          </w:p>
        </w:tc>
        <w:tc>
          <w:tcPr>
            <w:tcW w:w="100" w:type="dxa"/>
            <w:vAlign w:val="bottom"/>
            <w:shd w:val="clear" w:color="auto" w:fill="DADADA"/>
          </w:tcPr>
          <w:p>
            <w:pPr>
              <w:spacing w:after="0"/>
              <w:rPr>
                <w:sz w:val="17"/>
                <w:szCs w:val="17"/>
                <w:color w:val="auto"/>
              </w:rPr>
            </w:pPr>
          </w:p>
        </w:tc>
        <w:tc>
          <w:tcPr>
            <w:tcW w:w="440" w:type="dxa"/>
            <w:vAlign w:val="bottom"/>
            <w:shd w:val="clear" w:color="auto" w:fill="DADADA"/>
          </w:tcPr>
          <w:p>
            <w:pPr>
              <w:spacing w:after="0"/>
              <w:rPr>
                <w:sz w:val="17"/>
                <w:szCs w:val="17"/>
                <w:color w:val="auto"/>
              </w:rPr>
            </w:pPr>
          </w:p>
        </w:tc>
        <w:tc>
          <w:tcPr>
            <w:tcW w:w="100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2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4"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0" w:type="dxa"/>
            <w:vAlign w:val="bottom"/>
          </w:tcPr>
          <w:p>
            <w:pPr>
              <w:spacing w:after="0"/>
              <w:rPr>
                <w:sz w:val="1"/>
                <w:szCs w:val="1"/>
                <w:color w:val="auto"/>
              </w:rPr>
            </w:pPr>
          </w:p>
        </w:tc>
      </w:tr>
      <w:tr>
        <w:trPr>
          <w:trHeight w:val="66"/>
        </w:trPr>
        <w:tc>
          <w:tcPr>
            <w:tcW w:w="534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gridSpan w:val="2"/>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100" w:type="dxa"/>
            <w:vAlign w:val="bottom"/>
            <w:shd w:val="clear" w:color="auto" w:fill="DADADA"/>
          </w:tcPr>
          <w:p>
            <w:pPr>
              <w:spacing w:after="0"/>
              <w:rPr>
                <w:sz w:val="5"/>
                <w:szCs w:val="5"/>
                <w:color w:val="auto"/>
              </w:rPr>
            </w:pPr>
          </w:p>
        </w:tc>
        <w:tc>
          <w:tcPr>
            <w:tcW w:w="22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0" w:type="dxa"/>
            <w:vAlign w:val="bottom"/>
          </w:tcPr>
          <w:p>
            <w:pPr>
              <w:spacing w:after="0"/>
              <w:rPr>
                <w:sz w:val="1"/>
                <w:szCs w:val="1"/>
                <w:color w:val="auto"/>
              </w:rPr>
            </w:pPr>
          </w:p>
        </w:tc>
      </w:tr>
      <w:tr>
        <w:trPr>
          <w:trHeight w:val="168"/>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(που επιβάλλονται κατά το άνοιγμα, το κλείσιμο, την άσκηση και</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gridSpan w:val="2"/>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2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gridSpan w:val="2"/>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πράξεων εκχώρησης), αλλά μπορεί επίσης να περιλαμβάνει περιθώριο</w:t>
            </w:r>
          </w:p>
        </w:tc>
        <w:tc>
          <w:tcPr>
            <w:tcW w:w="100" w:type="dxa"/>
            <w:vAlign w:val="bottom"/>
          </w:tcPr>
          <w:p>
            <w:pPr>
              <w:spacing w:after="0"/>
              <w:rPr>
                <w:sz w:val="10"/>
                <w:szCs w:val="10"/>
                <w:color w:val="auto"/>
              </w:rPr>
            </w:pPr>
          </w:p>
        </w:tc>
        <w:tc>
          <w:tcPr>
            <w:tcW w:w="1440" w:type="dxa"/>
            <w:vAlign w:val="bottom"/>
            <w:tcBorders>
              <w:right w:val="single" w:sz="8" w:color="auto"/>
            </w:tcBorders>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76"/>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και των τόκων.</w:t>
            </w:r>
            <w:r>
              <w:rPr xmlns:w="http://schemas.openxmlformats.org/wordprocessingml/2006/main">
                <w:rFonts w:ascii="Calibri" w:cs="Calibri" w:eastAsia="Calibri" w:hAnsi="Calibri"/>
                <w:sz w:val="22"/>
                <w:szCs w:val="22"/>
                <w:color w:val="auto"/>
              </w:rPr>
              <w:t xml:space="preserve"> Περιθώριο σημαίνει τα στοιχεία ενεργητικού που απαιτούνται για</w:t>
            </w:r>
          </w:p>
        </w:tc>
        <w:tc>
          <w:tcPr>
            <w:tcW w:w="100" w:type="dxa"/>
            <w:vAlign w:val="bottom"/>
          </w:tcPr>
          <w:p>
            <w:pPr>
              <w:spacing w:after="0"/>
              <w:rPr>
                <w:sz w:val="6"/>
                <w:szCs w:val="6"/>
                <w:color w:val="auto"/>
              </w:rPr>
            </w:pPr>
          </w:p>
        </w:tc>
        <w:tc>
          <w:tcPr>
            <w:tcW w:w="1440" w:type="dxa"/>
            <w:vAlign w:val="bottom"/>
            <w:tcBorders>
              <w:right w:val="single" w:sz="8" w:color="auto"/>
            </w:tcBorders>
            <w:gridSpan w:val="2"/>
            <w:vMerge w:val="continue"/>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340" w:type="dxa"/>
            <w:vAlign w:val="bottom"/>
            <w:tcBorders>
              <w:right w:val="single" w:sz="8" w:color="auto"/>
            </w:tcBorders>
            <w:vMerge w:val="continue"/>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gridSpan w:val="2"/>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100" w:type="dxa"/>
            <w:vAlign w:val="bottom"/>
          </w:tcPr>
          <w:p>
            <w:pPr>
              <w:spacing w:after="0"/>
              <w:rPr>
                <w:sz w:val="18"/>
                <w:szCs w:val="18"/>
                <w:color w:val="auto"/>
              </w:rPr>
            </w:pPr>
          </w:p>
        </w:tc>
        <w:tc>
          <w:tcPr>
            <w:tcW w:w="206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0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3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να κατατεθεί από συγγραφέα στη μεσιτική του εταιρεία ως</w:t>
            </w:r>
          </w:p>
        </w:tc>
        <w:tc>
          <w:tcPr>
            <w:tcW w:w="100" w:type="dxa"/>
            <w:vAlign w:val="bottom"/>
          </w:tcPr>
          <w:p>
            <w:pPr>
              <w:spacing w:after="0"/>
              <w:rPr>
                <w:sz w:val="18"/>
                <w:szCs w:val="18"/>
                <w:color w:val="auto"/>
              </w:rPr>
            </w:pPr>
          </w:p>
        </w:tc>
        <w:tc>
          <w:tcPr>
            <w:tcW w:w="1440" w:type="dxa"/>
            <w:vAlign w:val="bottom"/>
            <w:tcBorders>
              <w:right w:val="single" w:sz="8" w:color="auto"/>
            </w:tcBorders>
            <w:gridSpan w:val="2"/>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100" w:type="dxa"/>
            <w:vAlign w:val="bottom"/>
          </w:tcPr>
          <w:p>
            <w:pPr>
              <w:spacing w:after="0"/>
              <w:rPr>
                <w:sz w:val="18"/>
                <w:szCs w:val="18"/>
                <w:color w:val="auto"/>
              </w:rPr>
            </w:pPr>
          </w:p>
        </w:tc>
        <w:tc>
          <w:tcPr>
            <w:tcW w:w="2060" w:type="dxa"/>
            <w:vAlign w:val="bottom"/>
            <w:tcBorders>
              <w:right w:val="single" w:sz="8" w:color="auto"/>
            </w:tcBorders>
            <w:gridSpan w:val="5"/>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τέλος</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0" w:type="dxa"/>
            <w:vAlign w:val="bottom"/>
          </w:tcPr>
          <w:p>
            <w:pPr>
              <w:spacing w:after="0"/>
              <w:rPr>
                <w:sz w:val="1"/>
                <w:szCs w:val="1"/>
                <w:color w:val="auto"/>
              </w:rPr>
            </w:pPr>
          </w:p>
        </w:tc>
      </w:tr>
      <w:tr>
        <w:trPr>
          <w:trHeight w:val="20"/>
        </w:trPr>
        <w:tc>
          <w:tcPr>
            <w:tcW w:w="534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4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κατά περίπτωση, αγοράς ή πώλησης</w:t>
            </w:r>
          </w:p>
        </w:tc>
        <w:tc>
          <w:tcPr>
            <w:tcW w:w="1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00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τους υποκείμενους τόκους ή την καταβολή του διακανονισμού τοις μετρητοίς</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0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0" w:type="dxa"/>
            <w:vAlign w:val="bottom"/>
          </w:tcPr>
          <w:p>
            <w:pPr>
              <w:spacing w:after="0"/>
              <w:rPr>
                <w:sz w:val="1"/>
                <w:szCs w:val="1"/>
                <w:color w:val="auto"/>
              </w:rPr>
            </w:pPr>
          </w:p>
        </w:tc>
      </w:tr>
      <w:tr>
        <w:trPr>
          <w:trHeight w:val="102"/>
        </w:trPr>
        <w:tc>
          <w:tcPr>
            <w:tcW w:w="534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gridSpan w:val="2"/>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0" w:type="dxa"/>
            <w:vAlign w:val="bottom"/>
          </w:tcPr>
          <w:p>
            <w:pPr>
              <w:spacing w:after="0"/>
              <w:rPr>
                <w:sz w:val="1"/>
                <w:szCs w:val="1"/>
                <w:color w:val="auto"/>
              </w:rPr>
            </w:pPr>
          </w:p>
        </w:tc>
      </w:tr>
      <w:tr>
        <w:trPr>
          <w:trHeight w:val="106"/>
        </w:trPr>
        <w:tc>
          <w:tcPr>
            <w:tcW w:w="534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ποσό.</w:t>
            </w:r>
            <w:r>
              <w:rPr xmlns:w="http://schemas.openxmlformats.org/wordprocessingml/2006/main">
                <w:rFonts w:ascii="Calibri" w:cs="Calibri" w:eastAsia="Calibri" w:hAnsi="Calibri"/>
                <w:sz w:val="22"/>
                <w:szCs w:val="22"/>
                <w:color w:val="auto"/>
              </w:rPr>
              <w:t xml:space="preserve"> Αν ένα δικαίωμα προαίρεσης ασκηθεί και ανατεθεί, ο συγγραφέας</w:t>
            </w:r>
          </w:p>
        </w:tc>
        <w:tc>
          <w:tcPr>
            <w:tcW w:w="100" w:type="dxa"/>
            <w:vAlign w:val="bottom"/>
          </w:tcPr>
          <w:p>
            <w:pPr>
              <w:spacing w:after="0"/>
              <w:rPr>
                <w:sz w:val="9"/>
                <w:szCs w:val="9"/>
                <w:color w:val="auto"/>
              </w:rPr>
            </w:pPr>
          </w:p>
        </w:tc>
        <w:tc>
          <w:tcPr>
            <w:tcW w:w="1440" w:type="dxa"/>
            <w:vAlign w:val="bottom"/>
            <w:tcBorders>
              <w:right w:val="single" w:sz="8" w:color="auto"/>
            </w:tcBorders>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4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534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7"/>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μπορεί να συνεπάγεται πρόσθετο κόστος σε σχέση με το υποκείμενο μέσο</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7"/>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4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0" w:type="dxa"/>
            <w:vAlign w:val="bottom"/>
          </w:tcPr>
          <w:p>
            <w:pPr>
              <w:spacing w:after="0"/>
              <w:rPr>
                <w:sz w:val="1"/>
                <w:szCs w:val="1"/>
                <w:color w:val="auto"/>
              </w:rPr>
            </w:pPr>
          </w:p>
        </w:tc>
      </w:tr>
      <w:tr>
        <w:trPr>
          <w:trHeight w:val="216"/>
        </w:trPr>
        <w:tc>
          <w:tcPr>
            <w:tcW w:w="5340" w:type="dxa"/>
            <w:vAlign w:val="bottom"/>
            <w:tcBorders>
              <w:right w:val="single" w:sz="8" w:color="auto"/>
            </w:tcBorders>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συμβόλαιο μελλοντικής εκπλήρωσης.</w:t>
            </w:r>
            <w:r>
              <w:rPr xmlns:w="http://schemas.openxmlformats.org/wordprocessingml/2006/main">
                <w:rFonts w:ascii="Calibri" w:cs="Calibri" w:eastAsia="Calibri" w:hAnsi="Calibri"/>
                <w:sz w:val="22"/>
                <w:szCs w:val="22"/>
                <w:color w:val="auto"/>
              </w:rPr>
              <w:t xml:space="preserve"> Χωριστά από το κόστος των επενδυτών, OCC</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gridSpan w:val="2"/>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1"/>
        </w:trPr>
        <w:tc>
          <w:tcPr>
            <w:tcW w:w="9040" w:type="dxa"/>
            <w:vAlign w:val="bottom"/>
            <w:gridSpan w:val="10"/>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χρεώσεις που σχετίζονται με τέλη για την εκκαθάριση αυτού του προϊόντος στα εκκαθαριστικά μέλη του, αλλά όχι απευθείας σε εσάς:</w:t>
            </w:r>
          </w:p>
        </w:tc>
        <w:tc>
          <w:tcPr>
            <w:tcW w:w="1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6880" w:type="dxa"/>
            <w:vAlign w:val="bottom"/>
            <w:gridSpan w:val="4"/>
          </w:tcPr>
          <w:p>
            <w:pPr xmlns:w="http://schemas.openxmlformats.org/wordprocessingml/2006/main">
              <w:spacing w:after="0" w:line="255" w:lineRule="exact"/>
              <w:rPr>
                <w:sz w:val="20"/>
                <w:szCs w:val="20"/>
                <w:color w:val="auto"/>
              </w:rPr>
            </w:pPr>
            <w:r>
              <w:rPr xmlns:w="http://schemas.openxmlformats.org/wordprocessingml/2006/main">
                <w:rFonts w:ascii="Calibri" w:cs="Calibri" w:eastAsia="Calibri" w:hAnsi="Calibri"/>
                <w:sz w:val="22"/>
                <w:szCs w:val="22"/>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340" w:type="dxa"/>
            <w:vAlign w:val="bottom"/>
            <w:tcBorders>
              <w:right w:val="single" w:sz="8" w:color="0563C1"/>
            </w:tcBorders>
            <w:shd w:val="clear" w:color="auto" w:fill="0563C1"/>
          </w:tcPr>
          <w:p>
            <w:pPr>
              <w:spacing w:after="0" w:line="20" w:lineRule="exact"/>
              <w:rPr>
                <w:sz w:val="1"/>
                <w:szCs w:val="1"/>
                <w:color w:val="auto"/>
              </w:rPr>
            </w:pPr>
          </w:p>
        </w:tc>
        <w:tc>
          <w:tcPr>
            <w:tcW w:w="100" w:type="dxa"/>
            <w:vAlign w:val="bottom"/>
            <w:shd w:val="clear" w:color="auto" w:fill="0563C1"/>
          </w:tcPr>
          <w:p>
            <w:pPr>
              <w:spacing w:after="0" w:line="20" w:lineRule="exact"/>
              <w:rPr>
                <w:sz w:val="1"/>
                <w:szCs w:val="1"/>
                <w:color w:val="auto"/>
              </w:rPr>
            </w:pPr>
          </w:p>
        </w:tc>
        <w:tc>
          <w:tcPr>
            <w:tcW w:w="440" w:type="dxa"/>
            <w:vAlign w:val="bottom"/>
            <w:shd w:val="clear" w:color="auto" w:fill="0563C1"/>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για συμβόλαια μελλοντικής εκπλήρωσης αποτελεί βασική επενδυτική απόφαση για τον κάτοχο, όπως είναι και η απόφαση τόσο για τους κατόχους δικαιωμάτων προαίρεσης όσο και για τους συγγραφείς να κλείσουν μια υπάρχουσα θέση δικαιώματος προαίρεσης πριν από τη λήξη του δικαιώματος ή ασκηθεί και ανατεθεί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το συμβόλαιο μελλοντικής εκπλήρωσης δικαιωμάτων προαίρεσης ή αν θα κλείνουν μια υπάρχουσα θέση.</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σε συμβόλαια μελλοντικής εκπλήρωσης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14"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με 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u w:val="single" w:color="auto"/>
          <w:color w:val="0563C1"/>
        </w:rPr>
        <w:t xml:space="preserve">κέντρο</w:t>
      </w:r>
      <w:r>
        <w:rPr xmlns:w="http://schemas.openxmlformats.org/wordprocessingml/2006/main">
          <w:rFonts w:ascii="Calibri" w:cs="Calibri" w:eastAsia="Calibri" w:hAnsi="Calibri"/>
          <w:sz w:val="22"/>
          <w:szCs w:val="22"/>
          <w:color w:val="000000"/>
        </w:rPr>
        <w:t xml:space="preserve">), 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 την NFA</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ή η CFTC</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 .</w:t>
      </w:r>
    </w:p>
    <w:p>
      <w:pPr>
        <w:spacing w:after="0" w:line="4" w:lineRule="exact"/>
        <w:rPr>
          <w:sz w:val="20"/>
          <w:szCs w:val="20"/>
          <w:color w:val="auto"/>
        </w:rPr>
      </w:pPr>
    </w:p>
    <w:tbl>
      <w:tblPr>
        <w:tblLayout w:type="fixed"/>
        <w:tblInd w:w="320" w:type="dxa"/>
        <w:tblCellMar>
          <w:top w:w="0" w:type="dxa"/>
          <w:left w:w="0" w:type="dxa"/>
          <w:bottom w:w="0" w:type="dxa"/>
          <w:right w:w="0" w:type="dxa"/>
        </w:tblCellMar>
      </w:tblPr>
      <w:tr>
        <w:trPr>
          <w:trHeight w:val="244"/>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Καταγγελία επενδυτή της FINRA</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Τίτλοι και χρηματιστήρια Η.Π.Α.</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Εθνική Ένωση Συμβολαίων Μελλοντικής Εκπλήρωσης</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w w:val="98"/>
              </w:rPr>
              <w:t xml:space="preserve">Συμβόλαια μελλοντικής εκπλήρωσης επί βασικών εμπορευμάτων Η.Π.Α.</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Κέντρο</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Επιτροπή/Γραφείο</w:t>
            </w:r>
          </w:p>
        </w:tc>
        <w:tc>
          <w:tcPr>
            <w:tcW w:w="258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Εμπορική Επιτροπή</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9509 Κι Γουέστ Άβενιου</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Εκπαίδευση και</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Σικάγο, IL 60606-6615</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Κέντρο Three Lafayette</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Υπεράσπιση</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312-781-1300</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1155 21η οδός, NW</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(240) 386-ΒΟΗΘΕΙΑ</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312-781-1467</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20581</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(4357)</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20549-0213</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866-366-2382</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(86) 397-3290</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(202) 772-9295</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202-418-521</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68580</wp:posOffset>
                </wp:positionH>
                <wp:positionV relativeFrom="paragraph">
                  <wp:posOffset>14605</wp:posOffset>
                </wp:positionV>
                <wp:extent cx="684784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pt,1.15pt" to="544.6pt,1.15pt" o:allowincell="f" strokecolor="#000000" strokeweight="0.48pt"/>
            </w:pict>
          </mc:Fallback>
        </mc:AlternateContent>
      </w:r>
    </w:p>
    <w:p>
      <w:pPr>
        <w:sectPr>
          <w:pgSz w:w="12240" w:h="15840" w:orient="portrait"/>
          <w:cols w:equalWidth="0" w:num="1">
            <w:col w:w="10780"/>
          </w:cols>
          <w:pgMar w:left="580" w:top="630" w:right="880" w:bottom="341" w:gutter="0" w:footer="0" w:header="0"/>
        </w:sectPr>
      </w:pP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1"/>
          <w:szCs w:val="21"/>
          <w:color w:val="auto"/>
        </w:rPr>
        <w:t xml:space="preserve">©2023 The Options Clearing Corporation.</w:t>
      </w:r>
      <w:r>
        <w:rPr xmlns:w="http://schemas.openxmlformats.org/wordprocessingml/2006/main">
          <w:rFonts w:ascii="Calibri" w:cs="Calibri" w:eastAsia="Calibri" w:hAnsi="Calibri"/>
          <w:sz w:val="21"/>
          <w:szCs w:val="21"/>
          <w:color w:val="auto"/>
        </w:rPr>
        <w:t xml:space="preserve"> Με επιφύλαξη κάθε νόμιμου δικαιώματος.</w:t>
      </w:r>
    </w:p>
    <w:sectPr>
      <w:pgSz w:w="12240" w:h="15840" w:orient="portrait"/>
      <w:cols w:equalWidth="0" w:num="1">
        <w:col w:w="10780"/>
      </w:cols>
      <w:pgMar w:left="580" w:top="630" w:right="880" w:bottom="341"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6715BB79"/>
    <w:multiLevelType w:val="hybridMultilevel"/>
    <w:lvl w:ilvl="0">
      <w:lvlJc w:val="left"/>
      <w:lvlText w:val="·"/>
      <w:numFmt w:val="bullet"/>
      <w:start w:val="1"/>
    </w:lvl>
  </w:abstractNum>
  <w:abstractNum w:abstractNumId="1">
    <w:nsid w:val="5484445B"/>
    <w:multiLevelType w:val="hybridMultilevel"/>
    <w:lvl w:ilvl="0">
      <w:lvlJc w:val="left"/>
      <w:lvlText w:val="·"/>
      <w:numFmt w:val="bullet"/>
      <w:start w:val="1"/>
    </w:lvl>
  </w:abstractNum>
  <w:abstractNum w:abstractNumId="2">
    <w:nsid w:val="26983DA4"/>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2024-05-20T14:25:27Z</dcterms:created>
  <dcterms:modified xsi:type="dcterms:W3CDTF">2024-05-20T14:25:27Z</dcterms:modified>
</cp:coreProperties>
</file>